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3D8B6" w14:textId="77777777" w:rsidR="00484E49" w:rsidRDefault="00484E49" w:rsidP="00FB0A70">
      <w:pPr>
        <w:spacing w:after="0" w:line="360" w:lineRule="auto"/>
        <w:ind w:left="567" w:firstLine="0"/>
        <w:jc w:val="right"/>
        <w:rPr>
          <w: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9286"/>
      </w:tblGrid>
      <w:tr w:rsidR="00484E49" w:rsidRPr="00484E49" w14:paraId="2D4ED462" w14:textId="77777777" w:rsidTr="00AE5146">
        <w:tc>
          <w:tcPr>
            <w:tcW w:w="9286" w:type="dxa"/>
          </w:tcPr>
          <w:p w14:paraId="4E6D74BD" w14:textId="39BEDDEA" w:rsidR="00484E49" w:rsidRDefault="00673534" w:rsidP="00FB0A70">
            <w:pPr>
              <w:spacing w:after="0" w:line="360" w:lineRule="auto"/>
              <w:ind w:left="567" w:firstLine="0"/>
              <w:jc w:val="right"/>
              <w:rPr>
                <w:b/>
              </w:rPr>
            </w:pPr>
            <w:r>
              <w:rPr>
                <w:b/>
              </w:rPr>
              <w:t xml:space="preserve">Deliberazione n. </w:t>
            </w:r>
            <w:r w:rsidR="00C52EE7" w:rsidRPr="00C52EE7">
              <w:rPr>
                <w:b/>
              </w:rPr>
              <w:t>38</w:t>
            </w:r>
            <w:r w:rsidR="0088619B" w:rsidRPr="00C52EE7">
              <w:rPr>
                <w:b/>
              </w:rPr>
              <w:t>/2018</w:t>
            </w:r>
            <w:r w:rsidR="00484E49" w:rsidRPr="00C52EE7">
              <w:rPr>
                <w:b/>
              </w:rPr>
              <w:t>/PAR</w:t>
            </w:r>
            <w:r w:rsidR="00484E49">
              <w:rPr>
                <w:b/>
              </w:rPr>
              <w:t xml:space="preserve"> </w:t>
            </w:r>
          </w:p>
          <w:p w14:paraId="58246076" w14:textId="04153B36" w:rsidR="00484E49" w:rsidRPr="00484E49" w:rsidRDefault="00484E49" w:rsidP="00FB0A70">
            <w:pPr>
              <w:widowControl w:val="0"/>
              <w:spacing w:after="0" w:line="360" w:lineRule="auto"/>
              <w:ind w:left="567" w:firstLine="0"/>
              <w:jc w:val="right"/>
              <w:outlineLvl w:val="4"/>
              <w:rPr>
                <w:rFonts w:eastAsia="Times New Roman" w:cs="Times New Roman"/>
                <w:b/>
                <w:bCs/>
                <w:color w:val="auto"/>
                <w:szCs w:val="20"/>
                <w:lang w:eastAsia="ar-SA"/>
              </w:rPr>
            </w:pPr>
            <w:r w:rsidRPr="00484E49">
              <w:rPr>
                <w:rFonts w:eastAsia="Times New Roman" w:cs="Times New Roman"/>
                <w:b/>
                <w:bCs/>
                <w:color w:val="auto"/>
                <w:szCs w:val="20"/>
                <w:lang w:eastAsia="ar-SA"/>
              </w:rPr>
              <w:t xml:space="preserve">Comune di </w:t>
            </w:r>
            <w:r w:rsidR="007A2351">
              <w:rPr>
                <w:rFonts w:eastAsia="Times New Roman" w:cs="Times New Roman"/>
                <w:b/>
                <w:bCs/>
                <w:color w:val="auto"/>
                <w:szCs w:val="20"/>
                <w:lang w:eastAsia="ar-SA"/>
              </w:rPr>
              <w:t>Barile</w:t>
            </w:r>
          </w:p>
          <w:p w14:paraId="06956BA2" w14:textId="77777777" w:rsidR="00484E49" w:rsidRPr="00484E49" w:rsidRDefault="00484E49" w:rsidP="00FB0A70">
            <w:pPr>
              <w:widowControl w:val="0"/>
              <w:spacing w:after="0" w:line="360" w:lineRule="auto"/>
              <w:ind w:left="567" w:firstLine="0"/>
              <w:jc w:val="center"/>
              <w:rPr>
                <w:rFonts w:eastAsia="Times New Roman" w:cs="Times New Roman"/>
                <w:b/>
                <w:color w:val="auto"/>
                <w:szCs w:val="20"/>
                <w:highlight w:val="yellow"/>
                <w:u w:val="single"/>
              </w:rPr>
            </w:pPr>
          </w:p>
        </w:tc>
      </w:tr>
    </w:tbl>
    <w:p w14:paraId="443685B9" w14:textId="77777777" w:rsidR="008641EB" w:rsidRDefault="008641EB" w:rsidP="00FB0A70">
      <w:pPr>
        <w:spacing w:after="0" w:line="360" w:lineRule="auto"/>
        <w:ind w:left="567" w:firstLine="0"/>
        <w:jc w:val="right"/>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9286"/>
      </w:tblGrid>
      <w:tr w:rsidR="00484E49" w:rsidRPr="00484E49" w14:paraId="71D94505" w14:textId="77777777" w:rsidTr="00AE5146">
        <w:tc>
          <w:tcPr>
            <w:tcW w:w="9286" w:type="dxa"/>
          </w:tcPr>
          <w:p w14:paraId="7AB4E70A" w14:textId="77777777" w:rsidR="00484E49" w:rsidRPr="00484E49" w:rsidRDefault="00484E49" w:rsidP="00FB0A70">
            <w:pPr>
              <w:widowControl w:val="0"/>
              <w:spacing w:after="0" w:line="360" w:lineRule="auto"/>
              <w:ind w:left="567" w:firstLine="0"/>
              <w:jc w:val="center"/>
              <w:rPr>
                <w:rFonts w:eastAsia="Times New Roman" w:cs="Times New Roman"/>
                <w:color w:val="auto"/>
                <w:szCs w:val="20"/>
              </w:rPr>
            </w:pPr>
            <w:r w:rsidRPr="00484E49">
              <w:rPr>
                <w:rFonts w:eastAsia="Times New Roman" w:cs="Times New Roman"/>
                <w:color w:val="auto"/>
                <w:szCs w:val="20"/>
              </w:rPr>
              <w:object w:dxaOrig="4920" w:dyaOrig="3662" w14:anchorId="7382C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pt;height:62.4pt" o:ole="" fillcolor="window">
                  <v:imagedata r:id="rId8" o:title=""/>
                </v:shape>
                <o:OLEObject Type="Embed" ProgID="Word.Picture.8" ShapeID="_x0000_i1025" DrawAspect="Content" ObjectID="_1604819415" r:id="rId9"/>
              </w:object>
            </w:r>
          </w:p>
          <w:p w14:paraId="3B11B858" w14:textId="77777777" w:rsidR="00484E49" w:rsidRPr="00484E49" w:rsidRDefault="00484E49" w:rsidP="00FB0A70">
            <w:pPr>
              <w:widowControl w:val="0"/>
              <w:spacing w:after="0" w:line="360" w:lineRule="auto"/>
              <w:ind w:left="567" w:firstLine="0"/>
              <w:jc w:val="center"/>
              <w:rPr>
                <w:rFonts w:eastAsia="Times New Roman" w:cs="Times New Roman"/>
                <w:b/>
                <w:color w:val="auto"/>
                <w:szCs w:val="20"/>
              </w:rPr>
            </w:pPr>
            <w:r w:rsidRPr="00484E49">
              <w:rPr>
                <w:rFonts w:eastAsia="Times New Roman" w:cs="Times New Roman"/>
                <w:b/>
                <w:color w:val="auto"/>
                <w:szCs w:val="20"/>
              </w:rPr>
              <w:t>REPUBBLICA ITALIANA</w:t>
            </w:r>
          </w:p>
          <w:p w14:paraId="31D9DB37" w14:textId="77777777" w:rsidR="00484E49" w:rsidRPr="00484E49" w:rsidRDefault="00484E49" w:rsidP="00FB0A70">
            <w:pPr>
              <w:widowControl w:val="0"/>
              <w:spacing w:after="0" w:line="360" w:lineRule="auto"/>
              <w:ind w:left="567" w:firstLine="0"/>
              <w:jc w:val="center"/>
              <w:rPr>
                <w:rFonts w:eastAsia="Times New Roman" w:cs="Times New Roman"/>
                <w:b/>
                <w:color w:val="auto"/>
                <w:szCs w:val="20"/>
              </w:rPr>
            </w:pPr>
            <w:r w:rsidRPr="00484E49">
              <w:rPr>
                <w:rFonts w:eastAsia="Times New Roman" w:cs="Times New Roman"/>
                <w:b/>
                <w:color w:val="auto"/>
                <w:szCs w:val="20"/>
              </w:rPr>
              <w:t>LA CORTE DEI CONTI</w:t>
            </w:r>
          </w:p>
          <w:p w14:paraId="0DBB9F41" w14:textId="77777777" w:rsidR="00484E49" w:rsidRPr="00484E49" w:rsidRDefault="00484E49" w:rsidP="00FB0A70">
            <w:pPr>
              <w:widowControl w:val="0"/>
              <w:spacing w:after="0" w:line="360" w:lineRule="auto"/>
              <w:ind w:left="567" w:firstLine="0"/>
              <w:jc w:val="center"/>
              <w:rPr>
                <w:rFonts w:eastAsia="Times New Roman" w:cs="Times New Roman"/>
                <w:b/>
                <w:color w:val="auto"/>
                <w:szCs w:val="20"/>
              </w:rPr>
            </w:pPr>
            <w:r w:rsidRPr="00484E49">
              <w:rPr>
                <w:rFonts w:eastAsia="Times New Roman" w:cs="Times New Roman"/>
                <w:b/>
                <w:color w:val="auto"/>
                <w:szCs w:val="20"/>
              </w:rPr>
              <w:t>SEZIONE REGIONALE DI CONTROLLO PER LA BASILICATA</w:t>
            </w:r>
          </w:p>
        </w:tc>
      </w:tr>
    </w:tbl>
    <w:p w14:paraId="3739CACD" w14:textId="258948CD" w:rsidR="00484E49" w:rsidRDefault="00484E49" w:rsidP="00FB0A70">
      <w:pPr>
        <w:widowControl w:val="0"/>
        <w:spacing w:after="0" w:line="360" w:lineRule="auto"/>
        <w:ind w:left="567" w:firstLine="0"/>
        <w:jc w:val="center"/>
        <w:outlineLvl w:val="2"/>
        <w:rPr>
          <w:rFonts w:eastAsia="Times New Roman" w:cs="Arial"/>
          <w:bCs/>
          <w:i/>
          <w:color w:val="auto"/>
          <w:szCs w:val="20"/>
        </w:rPr>
      </w:pPr>
      <w:r w:rsidRPr="00484E49">
        <w:rPr>
          <w:rFonts w:eastAsia="Times New Roman" w:cs="Times New Roman"/>
          <w:bCs/>
          <w:i/>
          <w:color w:val="auto"/>
          <w:szCs w:val="20"/>
        </w:rPr>
        <w:t>Nell</w:t>
      </w:r>
      <w:r w:rsidR="00673534">
        <w:rPr>
          <w:rFonts w:eastAsia="Times New Roman" w:cs="Times New Roman"/>
          <w:bCs/>
          <w:i/>
          <w:color w:val="auto"/>
          <w:szCs w:val="20"/>
        </w:rPr>
        <w:t>a</w:t>
      </w:r>
      <w:r w:rsidRPr="00484E49">
        <w:rPr>
          <w:rFonts w:eastAsia="Times New Roman" w:cs="Times New Roman"/>
          <w:bCs/>
          <w:i/>
          <w:color w:val="auto"/>
          <w:szCs w:val="20"/>
        </w:rPr>
        <w:t xml:space="preserve"> </w:t>
      </w:r>
      <w:bookmarkStart w:id="0" w:name="OLE_LINK9"/>
      <w:r w:rsidR="00673534">
        <w:rPr>
          <w:rFonts w:eastAsia="Times New Roman" w:cs="Times New Roman"/>
          <w:bCs/>
          <w:i/>
          <w:color w:val="auto"/>
          <w:szCs w:val="20"/>
        </w:rPr>
        <w:t>Camera</w:t>
      </w:r>
      <w:r w:rsidR="0074796F">
        <w:rPr>
          <w:rFonts w:eastAsia="Times New Roman" w:cs="Times New Roman"/>
          <w:bCs/>
          <w:i/>
          <w:color w:val="auto"/>
          <w:szCs w:val="20"/>
        </w:rPr>
        <w:t xml:space="preserve"> di c</w:t>
      </w:r>
      <w:r w:rsidRPr="00484E49">
        <w:rPr>
          <w:rFonts w:eastAsia="Times New Roman" w:cs="Times New Roman"/>
          <w:bCs/>
          <w:i/>
          <w:color w:val="auto"/>
          <w:szCs w:val="20"/>
        </w:rPr>
        <w:t>onsiglio</w:t>
      </w:r>
      <w:bookmarkStart w:id="1" w:name="OLE_LINK11"/>
      <w:bookmarkEnd w:id="0"/>
      <w:r w:rsidRPr="00484E49">
        <w:rPr>
          <w:rFonts w:eastAsia="Times New Roman" w:cs="Times New Roman"/>
          <w:bCs/>
          <w:i/>
          <w:color w:val="auto"/>
          <w:szCs w:val="20"/>
        </w:rPr>
        <w:t xml:space="preserve"> </w:t>
      </w:r>
      <w:r w:rsidRPr="00ED66F5">
        <w:rPr>
          <w:rFonts w:eastAsia="Times New Roman" w:cs="Times New Roman"/>
          <w:i/>
          <w:color w:val="auto"/>
          <w:szCs w:val="20"/>
        </w:rPr>
        <w:t>del</w:t>
      </w:r>
      <w:bookmarkEnd w:id="1"/>
      <w:r w:rsidR="00712352" w:rsidRPr="00ED66F5">
        <w:rPr>
          <w:rFonts w:eastAsia="Times New Roman" w:cs="Times New Roman"/>
          <w:i/>
          <w:color w:val="auto"/>
          <w:szCs w:val="20"/>
        </w:rPr>
        <w:t xml:space="preserve"> </w:t>
      </w:r>
      <w:r w:rsidR="00ED66F5" w:rsidRPr="00ED66F5">
        <w:rPr>
          <w:rFonts w:eastAsia="Times New Roman" w:cs="Times New Roman"/>
          <w:i/>
          <w:color w:val="auto"/>
          <w:szCs w:val="20"/>
        </w:rPr>
        <w:t>15 novembre</w:t>
      </w:r>
      <w:r w:rsidR="007A2351" w:rsidRPr="00ED66F5">
        <w:rPr>
          <w:rFonts w:eastAsia="Times New Roman" w:cs="Times New Roman"/>
          <w:i/>
          <w:color w:val="auto"/>
          <w:szCs w:val="20"/>
        </w:rPr>
        <w:t xml:space="preserve"> </w:t>
      </w:r>
      <w:r w:rsidR="007F6648" w:rsidRPr="00ED66F5">
        <w:rPr>
          <w:rFonts w:eastAsia="Times New Roman" w:cs="Times New Roman"/>
          <w:i/>
          <w:color w:val="auto"/>
          <w:szCs w:val="20"/>
        </w:rPr>
        <w:t>2018</w:t>
      </w:r>
    </w:p>
    <w:p w14:paraId="3F25E939" w14:textId="77777777" w:rsidR="00484E49" w:rsidRPr="00484E49" w:rsidRDefault="0074796F" w:rsidP="00FB0A70">
      <w:pPr>
        <w:widowControl w:val="0"/>
        <w:spacing w:after="0" w:line="360" w:lineRule="auto"/>
        <w:ind w:left="567" w:firstLine="0"/>
        <w:jc w:val="center"/>
        <w:outlineLvl w:val="2"/>
        <w:rPr>
          <w:rFonts w:eastAsia="Times New Roman" w:cs="Times New Roman"/>
          <w:i/>
          <w:color w:val="auto"/>
          <w:szCs w:val="20"/>
        </w:rPr>
      </w:pPr>
      <w:r>
        <w:rPr>
          <w:rFonts w:eastAsia="Times New Roman" w:cs="Arial"/>
          <w:bCs/>
          <w:i/>
          <w:color w:val="auto"/>
          <w:szCs w:val="20"/>
        </w:rPr>
        <w:t>composta dai M</w:t>
      </w:r>
      <w:r w:rsidR="00484E49" w:rsidRPr="00484E49">
        <w:rPr>
          <w:rFonts w:eastAsia="Times New Roman" w:cs="Arial"/>
          <w:bCs/>
          <w:i/>
          <w:color w:val="auto"/>
          <w:szCs w:val="20"/>
        </w:rPr>
        <w:t>agistrati</w:t>
      </w:r>
    </w:p>
    <w:p w14:paraId="2C7105E0" w14:textId="6A543AA0" w:rsidR="00484E49" w:rsidRDefault="00484E49" w:rsidP="00FB0A70">
      <w:pPr>
        <w:widowControl w:val="0"/>
        <w:spacing w:after="0" w:line="360" w:lineRule="auto"/>
        <w:ind w:left="567" w:firstLine="0"/>
        <w:rPr>
          <w:rFonts w:eastAsia="Times New Roman" w:cs="Times New Roman"/>
          <w:color w:val="auto"/>
          <w:szCs w:val="20"/>
        </w:rPr>
      </w:pPr>
      <w:bookmarkStart w:id="2" w:name="OLE_LINK4"/>
    </w:p>
    <w:p w14:paraId="3C5A01C3" w14:textId="77777777" w:rsidR="00C52EE7" w:rsidRPr="00484E49" w:rsidRDefault="00C52EE7" w:rsidP="00FB0A70">
      <w:pPr>
        <w:widowControl w:val="0"/>
        <w:spacing w:after="0" w:line="360" w:lineRule="auto"/>
        <w:ind w:left="567" w:firstLine="0"/>
        <w:rPr>
          <w:rFonts w:eastAsia="Times New Roman" w:cs="Times New Roman"/>
          <w:color w:val="auto"/>
          <w:szCs w:val="20"/>
        </w:rPr>
      </w:pPr>
    </w:p>
    <w:p w14:paraId="06FB37DF" w14:textId="77777777" w:rsidR="00484E49" w:rsidRPr="00484E49" w:rsidRDefault="0074796F" w:rsidP="00FB0A70">
      <w:pPr>
        <w:widowControl w:val="0"/>
        <w:spacing w:after="0" w:line="360" w:lineRule="auto"/>
        <w:ind w:left="567" w:firstLine="0"/>
        <w:rPr>
          <w:rFonts w:eastAsia="Times New Roman" w:cs="Times New Roman"/>
          <w:color w:val="auto"/>
          <w:szCs w:val="20"/>
        </w:rPr>
      </w:pPr>
      <w:bookmarkStart w:id="3" w:name="OLE_LINK14"/>
      <w:bookmarkEnd w:id="2"/>
      <w:r>
        <w:rPr>
          <w:rFonts w:eastAsia="Times New Roman" w:cs="Times New Roman"/>
          <w:color w:val="auto"/>
          <w:szCs w:val="20"/>
        </w:rPr>
        <w:t>dott</w:t>
      </w:r>
      <w:r w:rsidR="00484E49" w:rsidRPr="00484E49">
        <w:rPr>
          <w:rFonts w:eastAsia="Times New Roman" w:cs="Times New Roman"/>
          <w:color w:val="auto"/>
          <w:szCs w:val="20"/>
        </w:rPr>
        <w:t xml:space="preserve">. Rosario Scalia </w:t>
      </w:r>
      <w:r w:rsidR="00484E49" w:rsidRPr="00484E49">
        <w:rPr>
          <w:rFonts w:eastAsia="Times New Roman" w:cs="Times New Roman"/>
          <w:color w:val="auto"/>
          <w:szCs w:val="20"/>
        </w:rPr>
        <w:tab/>
      </w:r>
      <w:r w:rsidR="00484E49" w:rsidRPr="00484E49">
        <w:rPr>
          <w:rFonts w:eastAsia="Times New Roman" w:cs="Times New Roman"/>
          <w:color w:val="auto"/>
          <w:szCs w:val="20"/>
        </w:rPr>
        <w:tab/>
      </w:r>
      <w:r w:rsidR="00484E49" w:rsidRPr="00484E49">
        <w:rPr>
          <w:rFonts w:eastAsia="Times New Roman" w:cs="Times New Roman"/>
          <w:color w:val="auto"/>
          <w:szCs w:val="20"/>
        </w:rPr>
        <w:tab/>
        <w:t>Presidente</w:t>
      </w:r>
      <w:r w:rsidR="007F6648">
        <w:rPr>
          <w:rFonts w:eastAsia="Times New Roman" w:cs="Times New Roman"/>
          <w:color w:val="auto"/>
          <w:szCs w:val="20"/>
        </w:rPr>
        <w:t>,</w:t>
      </w:r>
    </w:p>
    <w:bookmarkEnd w:id="3"/>
    <w:p w14:paraId="6E9B2327" w14:textId="79021459" w:rsidR="00484E49" w:rsidRDefault="0074796F" w:rsidP="00FB0A70">
      <w:pPr>
        <w:widowControl w:val="0"/>
        <w:spacing w:after="0" w:line="360" w:lineRule="auto"/>
        <w:ind w:left="567" w:firstLine="0"/>
        <w:rPr>
          <w:rFonts w:eastAsia="Times New Roman" w:cs="Times New Roman"/>
          <w:color w:val="auto"/>
          <w:szCs w:val="20"/>
        </w:rPr>
      </w:pPr>
      <w:r>
        <w:rPr>
          <w:rFonts w:eastAsia="Times New Roman" w:cs="Times New Roman"/>
          <w:color w:val="auto"/>
          <w:szCs w:val="20"/>
        </w:rPr>
        <w:t>dott</w:t>
      </w:r>
      <w:r w:rsidR="00484E49" w:rsidRPr="00484E49">
        <w:rPr>
          <w:rFonts w:eastAsia="Times New Roman" w:cs="Times New Roman"/>
          <w:color w:val="auto"/>
          <w:szCs w:val="20"/>
        </w:rPr>
        <w:t>.ssa Vanessa</w:t>
      </w:r>
      <w:r w:rsidR="00665B72">
        <w:rPr>
          <w:rFonts w:eastAsia="Times New Roman" w:cs="Times New Roman"/>
          <w:color w:val="auto"/>
          <w:szCs w:val="20"/>
        </w:rPr>
        <w:t xml:space="preserve"> Pinto </w:t>
      </w:r>
      <w:r w:rsidR="00665B72">
        <w:rPr>
          <w:rFonts w:eastAsia="Times New Roman" w:cs="Times New Roman"/>
          <w:color w:val="auto"/>
          <w:szCs w:val="20"/>
        </w:rPr>
        <w:tab/>
      </w:r>
      <w:r w:rsidR="00665B72">
        <w:rPr>
          <w:rFonts w:eastAsia="Times New Roman" w:cs="Times New Roman"/>
          <w:color w:val="auto"/>
          <w:szCs w:val="20"/>
        </w:rPr>
        <w:tab/>
      </w:r>
      <w:r w:rsidR="007F6648">
        <w:rPr>
          <w:rFonts w:eastAsia="Times New Roman" w:cs="Times New Roman"/>
          <w:color w:val="auto"/>
          <w:szCs w:val="20"/>
        </w:rPr>
        <w:t xml:space="preserve">Primo </w:t>
      </w:r>
      <w:r w:rsidR="00665B72">
        <w:rPr>
          <w:rFonts w:eastAsia="Times New Roman" w:cs="Times New Roman"/>
          <w:color w:val="auto"/>
          <w:szCs w:val="20"/>
        </w:rPr>
        <w:t>Referendario</w:t>
      </w:r>
      <w:r w:rsidR="007F6648">
        <w:rPr>
          <w:rFonts w:eastAsia="Times New Roman" w:cs="Times New Roman"/>
          <w:color w:val="auto"/>
          <w:szCs w:val="20"/>
        </w:rPr>
        <w:t>,</w:t>
      </w:r>
    </w:p>
    <w:p w14:paraId="50A07166" w14:textId="77777777" w:rsidR="001219D8" w:rsidRPr="00484E49" w:rsidRDefault="001219D8" w:rsidP="00FB0A70">
      <w:pPr>
        <w:widowControl w:val="0"/>
        <w:spacing w:after="0" w:line="360" w:lineRule="auto"/>
        <w:ind w:left="567" w:firstLine="0"/>
        <w:rPr>
          <w:rFonts w:eastAsia="Times New Roman" w:cs="Times New Roman"/>
          <w:color w:val="auto"/>
          <w:szCs w:val="20"/>
        </w:rPr>
      </w:pPr>
      <w:r>
        <w:rPr>
          <w:rFonts w:eastAsia="Times New Roman" w:cs="Times New Roman"/>
          <w:color w:val="auto"/>
          <w:szCs w:val="20"/>
        </w:rPr>
        <w:t>dott. Luigi Gianfranceschi</w:t>
      </w:r>
      <w:r>
        <w:rPr>
          <w:rFonts w:eastAsia="Times New Roman" w:cs="Times New Roman"/>
          <w:color w:val="auto"/>
          <w:szCs w:val="20"/>
        </w:rPr>
        <w:tab/>
      </w:r>
      <w:r>
        <w:rPr>
          <w:rFonts w:eastAsia="Times New Roman" w:cs="Times New Roman"/>
          <w:color w:val="auto"/>
          <w:szCs w:val="20"/>
        </w:rPr>
        <w:tab/>
        <w:t>Consigliere</w:t>
      </w:r>
      <w:r w:rsidR="007F6648">
        <w:rPr>
          <w:rFonts w:eastAsia="Times New Roman" w:cs="Times New Roman"/>
          <w:color w:val="auto"/>
          <w:szCs w:val="20"/>
        </w:rPr>
        <w:t>, relatore;</w:t>
      </w:r>
    </w:p>
    <w:p w14:paraId="362B34FD" w14:textId="77777777" w:rsidR="008641EB" w:rsidRDefault="008641EB" w:rsidP="00FB0A70">
      <w:pPr>
        <w:spacing w:after="0" w:line="360" w:lineRule="auto"/>
        <w:ind w:left="567" w:firstLine="0"/>
        <w:jc w:val="center"/>
      </w:pPr>
      <w:r>
        <w:t xml:space="preserve"> </w:t>
      </w:r>
    </w:p>
    <w:p w14:paraId="329CAD12" w14:textId="77777777" w:rsidR="008641EB" w:rsidRDefault="008641EB" w:rsidP="00FB0A70">
      <w:pPr>
        <w:spacing w:after="0" w:line="360" w:lineRule="auto"/>
        <w:ind w:left="567" w:firstLine="0"/>
      </w:pPr>
    </w:p>
    <w:p w14:paraId="3FA8593D" w14:textId="77777777" w:rsidR="008641EB" w:rsidRDefault="008641EB" w:rsidP="00FB0A70">
      <w:pPr>
        <w:spacing w:after="0" w:line="360" w:lineRule="auto"/>
        <w:ind w:left="567" w:firstLine="0"/>
      </w:pPr>
    </w:p>
    <w:p w14:paraId="387460DD" w14:textId="560BEA2B" w:rsidR="008641EB" w:rsidRDefault="001023FB" w:rsidP="00FB0A70">
      <w:pPr>
        <w:spacing w:after="0" w:line="360" w:lineRule="auto"/>
        <w:ind w:left="567" w:firstLine="0"/>
      </w:pPr>
      <w:r w:rsidRPr="00613827">
        <w:rPr>
          <w:b/>
        </w:rPr>
        <w:t>VISTO</w:t>
      </w:r>
      <w:r w:rsidR="00BC3AE1">
        <w:t xml:space="preserve"> l’art. 100, comma 2</w:t>
      </w:r>
      <w:r w:rsidR="008641EB">
        <w:t xml:space="preserve">, della Costituzione; </w:t>
      </w:r>
    </w:p>
    <w:p w14:paraId="63B4C0BF" w14:textId="77777777" w:rsidR="008641EB" w:rsidRDefault="001023FB" w:rsidP="00FB0A70">
      <w:pPr>
        <w:spacing w:after="0" w:line="360" w:lineRule="auto"/>
        <w:ind w:left="567" w:firstLine="0"/>
      </w:pPr>
      <w:r w:rsidRPr="00613827">
        <w:rPr>
          <w:b/>
        </w:rPr>
        <w:t>VISTA</w:t>
      </w:r>
      <w:r w:rsidR="008641EB">
        <w:t xml:space="preserve"> la legge costituzionale 18 ottobre 2001, n. 3; </w:t>
      </w:r>
    </w:p>
    <w:p w14:paraId="28533DA6" w14:textId="77777777" w:rsidR="008641EB" w:rsidRDefault="001023FB" w:rsidP="00FB0A70">
      <w:pPr>
        <w:spacing w:after="0" w:line="360" w:lineRule="auto"/>
        <w:ind w:left="567" w:firstLine="0"/>
      </w:pPr>
      <w:r w:rsidRPr="00613827">
        <w:rPr>
          <w:b/>
        </w:rPr>
        <w:t>VISTO</w:t>
      </w:r>
      <w:r w:rsidR="008641EB">
        <w:t xml:space="preserve"> il testo unico delle leggi sull’ordinamento della Corte dei conti, approvato con il regio decreto 12 luglio 1934, n. 1214, e successive modificazioni; </w:t>
      </w:r>
    </w:p>
    <w:p w14:paraId="1C70D01D" w14:textId="77777777" w:rsidR="008641EB" w:rsidRDefault="001023FB" w:rsidP="00FB0A70">
      <w:pPr>
        <w:spacing w:after="0" w:line="360" w:lineRule="auto"/>
        <w:ind w:left="567" w:firstLine="0"/>
      </w:pPr>
      <w:r w:rsidRPr="00613827">
        <w:rPr>
          <w:b/>
        </w:rPr>
        <w:t>VISTI</w:t>
      </w:r>
      <w:r w:rsidR="008641EB" w:rsidRPr="002C3C7C">
        <w:t xml:space="preserve"> </w:t>
      </w:r>
      <w:r w:rsidR="008641EB">
        <w:t xml:space="preserve">la legge 14 gennaio 1994, n. 20, e il decreto-legge 23 ottobre 1996, n. 543, convertito, con modificazioni, dalla legge 20 dicembre 1996, n. 639, recanti “Disposizioni in materia di giurisdizione e di controllo della Corte dei conti"; </w:t>
      </w:r>
    </w:p>
    <w:p w14:paraId="2EECB4F7" w14:textId="77777777" w:rsidR="008641EB" w:rsidRDefault="001023FB" w:rsidP="00FB0A70">
      <w:pPr>
        <w:spacing w:after="0" w:line="360" w:lineRule="auto"/>
        <w:ind w:left="567" w:firstLine="0"/>
      </w:pPr>
      <w:r w:rsidRPr="00613827">
        <w:rPr>
          <w:b/>
        </w:rPr>
        <w:t>VISTA</w:t>
      </w:r>
      <w:r w:rsidR="008641EB">
        <w:t xml:space="preserve"> la deliberazione delle Sezioni Riunite n. 14 del 16 giugno 2000, che ha approvato il regolamento per l’organizzazione delle funzioni di controllo della Corte dei conti, da ultimo modificata con deliberazione del Consiglio di Presidenza n. 229 dell’11 giugno 2008; </w:t>
      </w:r>
    </w:p>
    <w:p w14:paraId="49E725B2" w14:textId="77777777" w:rsidR="008641EB" w:rsidRDefault="001023FB" w:rsidP="00FB0A70">
      <w:pPr>
        <w:spacing w:after="0" w:line="360" w:lineRule="auto"/>
        <w:ind w:left="567" w:firstLine="0"/>
      </w:pPr>
      <w:r w:rsidRPr="00613827">
        <w:rPr>
          <w:b/>
        </w:rPr>
        <w:t>VISTA</w:t>
      </w:r>
      <w:r w:rsidR="008641EB">
        <w:t xml:space="preserve"> la legge 5 giugno 2003, n. 131, recante “Disposizioni per l’adeguamento dell’ordinamento della Repubblica alla legge costituzionale 18 ottobre 2001 n. 3”; </w:t>
      </w:r>
    </w:p>
    <w:p w14:paraId="439DFFD2" w14:textId="77777777" w:rsidR="00130F6C" w:rsidRDefault="001023FB" w:rsidP="00FB0A70">
      <w:pPr>
        <w:spacing w:after="0" w:line="360" w:lineRule="auto"/>
        <w:ind w:left="567" w:firstLine="0"/>
      </w:pPr>
      <w:r w:rsidRPr="00613827">
        <w:rPr>
          <w:b/>
        </w:rPr>
        <w:t>VISTA</w:t>
      </w:r>
      <w:r w:rsidR="008641EB">
        <w:t xml:space="preserve"> la deliberazione della Sezione delle autonomie del 4 giugno 2009 n. 9/ SEZAUT/2009/INPR;  </w:t>
      </w:r>
    </w:p>
    <w:p w14:paraId="1F6BF32F" w14:textId="77777777" w:rsidR="000B749E" w:rsidRDefault="001023FB" w:rsidP="00FB0A70">
      <w:pPr>
        <w:spacing w:after="0" w:line="360" w:lineRule="auto"/>
        <w:ind w:left="567" w:firstLine="0"/>
      </w:pPr>
      <w:r w:rsidRPr="00613827">
        <w:rPr>
          <w:b/>
        </w:rPr>
        <w:t>VISTA</w:t>
      </w:r>
      <w:r w:rsidR="000B749E">
        <w:t xml:space="preserve"> la deliberazione della Sezione delle autonomie del 19 febbraio 2014 n. 3/ SEZAUT/2014/QMIG; </w:t>
      </w:r>
    </w:p>
    <w:p w14:paraId="0B5D0807" w14:textId="77777777" w:rsidR="000B749E" w:rsidRDefault="001023FB" w:rsidP="00FB0A70">
      <w:pPr>
        <w:spacing w:after="0" w:line="360" w:lineRule="auto"/>
        <w:ind w:left="567" w:firstLine="0"/>
      </w:pPr>
      <w:r w:rsidRPr="00613827">
        <w:rPr>
          <w:b/>
        </w:rPr>
        <w:lastRenderedPageBreak/>
        <w:t>VISTE</w:t>
      </w:r>
      <w:r w:rsidR="000B749E">
        <w:t xml:space="preserve"> le deliberazioni delle Sezioni Riunite in sede di controllo n. 8 del 26 marzo 2010 e 54 del 17 novembre 2010; </w:t>
      </w:r>
    </w:p>
    <w:p w14:paraId="0B099FA1" w14:textId="77777777" w:rsidR="008641EB" w:rsidRDefault="001023FB" w:rsidP="00FB0A70">
      <w:pPr>
        <w:spacing w:after="0" w:line="360" w:lineRule="auto"/>
        <w:ind w:left="567" w:firstLine="0"/>
      </w:pPr>
      <w:r w:rsidRPr="00613827">
        <w:rPr>
          <w:b/>
        </w:rPr>
        <w:t>VISTO</w:t>
      </w:r>
      <w:r w:rsidR="008641EB">
        <w:t xml:space="preserve"> l’articolo 6, comma 4, del decreto legge 10 ottobre 2012, n. 174, convertito</w:t>
      </w:r>
      <w:r w:rsidR="0074796F">
        <w:t>,</w:t>
      </w:r>
      <w:r w:rsidR="008641EB">
        <w:t xml:space="preserve"> con modificazioni</w:t>
      </w:r>
      <w:r w:rsidR="0074796F">
        <w:t>,</w:t>
      </w:r>
      <w:r w:rsidR="008641EB">
        <w:t xml:space="preserve"> dalla legge 7 dicembre 2012, n. 213; </w:t>
      </w:r>
    </w:p>
    <w:p w14:paraId="0B3DA7FA" w14:textId="4684B34D" w:rsidR="009325AF" w:rsidRDefault="001023FB" w:rsidP="00D7225F">
      <w:pPr>
        <w:spacing w:after="0" w:line="360" w:lineRule="auto"/>
        <w:ind w:left="567" w:firstLine="0"/>
      </w:pPr>
      <w:r w:rsidRPr="00613827">
        <w:rPr>
          <w:b/>
        </w:rPr>
        <w:t>VISTA</w:t>
      </w:r>
      <w:r w:rsidR="008641EB">
        <w:t xml:space="preserve"> la richiesta di parere formulat</w:t>
      </w:r>
      <w:r w:rsidR="00D34B2E">
        <w:t>a dal Sindaco del Comune di</w:t>
      </w:r>
      <w:r w:rsidR="007A2351">
        <w:t xml:space="preserve"> Barile</w:t>
      </w:r>
      <w:r w:rsidR="009A13FE">
        <w:t xml:space="preserve"> con nota prot. n. 5717 del</w:t>
      </w:r>
      <w:r w:rsidR="00613827">
        <w:t xml:space="preserve"> </w:t>
      </w:r>
      <w:r w:rsidR="007A2351">
        <w:t>4 otto</w:t>
      </w:r>
      <w:r w:rsidR="00613827">
        <w:t>bre 2018</w:t>
      </w:r>
      <w:r w:rsidR="008641EB">
        <w:t>, perv</w:t>
      </w:r>
      <w:r w:rsidR="00D34B2E">
        <w:t>e</w:t>
      </w:r>
      <w:r w:rsidR="0019527D">
        <w:t>nuta</w:t>
      </w:r>
      <w:r w:rsidR="00580DEF">
        <w:t xml:space="preserve"> </w:t>
      </w:r>
      <w:r w:rsidR="007F6648">
        <w:t>e acquisita</w:t>
      </w:r>
      <w:r w:rsidR="00580DEF">
        <w:t xml:space="preserve"> in pari data</w:t>
      </w:r>
      <w:r w:rsidR="007F6648">
        <w:t xml:space="preserve"> al prot. </w:t>
      </w:r>
      <w:r w:rsidR="00580DEF">
        <w:t>n. 885 di questa Sezione</w:t>
      </w:r>
      <w:r w:rsidR="008641EB">
        <w:t xml:space="preserve">; </w:t>
      </w:r>
    </w:p>
    <w:p w14:paraId="5761D60B" w14:textId="2D6C5B0A" w:rsidR="008641EB" w:rsidRDefault="00673534" w:rsidP="00FB0A70">
      <w:pPr>
        <w:spacing w:after="0" w:line="360" w:lineRule="auto"/>
        <w:ind w:left="567" w:firstLine="0"/>
      </w:pPr>
      <w:r w:rsidRPr="00613827">
        <w:rPr>
          <w:b/>
        </w:rPr>
        <w:t>VISTA</w:t>
      </w:r>
      <w:r w:rsidR="008641EB">
        <w:t xml:space="preserve"> </w:t>
      </w:r>
      <w:r>
        <w:t>l’</w:t>
      </w:r>
      <w:r w:rsidR="008641EB">
        <w:t>ordinanz</w:t>
      </w:r>
      <w:r>
        <w:t>a</w:t>
      </w:r>
      <w:r w:rsidR="007F6648">
        <w:t xml:space="preserve"> presidenzia</w:t>
      </w:r>
      <w:r>
        <w:t xml:space="preserve">le n. </w:t>
      </w:r>
      <w:r w:rsidR="00ED66F5" w:rsidRPr="00ED66F5">
        <w:t>21</w:t>
      </w:r>
      <w:r w:rsidR="00E72460" w:rsidRPr="00ED66F5">
        <w:t>/2018</w:t>
      </w:r>
      <w:r w:rsidR="00E72460">
        <w:t xml:space="preserve"> del </w:t>
      </w:r>
      <w:r w:rsidR="00ED66F5" w:rsidRPr="00ED66F5">
        <w:t xml:space="preserve">7 novembre </w:t>
      </w:r>
      <w:r w:rsidR="00E72460" w:rsidRPr="00ED66F5">
        <w:t>2018</w:t>
      </w:r>
      <w:r w:rsidR="008641EB">
        <w:t>, con l</w:t>
      </w:r>
      <w:r>
        <w:t>a</w:t>
      </w:r>
      <w:r w:rsidR="008641EB">
        <w:t xml:space="preserve"> qual</w:t>
      </w:r>
      <w:r>
        <w:t>e</w:t>
      </w:r>
      <w:r w:rsidR="0090454C">
        <w:t xml:space="preserve"> è stata</w:t>
      </w:r>
      <w:r w:rsidR="00447AC6">
        <w:t xml:space="preserve"> convocata la Sezione regionale di </w:t>
      </w:r>
      <w:r w:rsidR="00BC3AE1">
        <w:t>controllo</w:t>
      </w:r>
      <w:r w:rsidR="0090454C">
        <w:t xml:space="preserve"> per la</w:t>
      </w:r>
      <w:r w:rsidR="00996592">
        <w:t xml:space="preserve"> Camera di consiglio</w:t>
      </w:r>
      <w:r>
        <w:t xml:space="preserve"> del </w:t>
      </w:r>
      <w:r w:rsidR="00ED66F5" w:rsidRPr="00ED66F5">
        <w:t xml:space="preserve">15 novembre </w:t>
      </w:r>
      <w:r w:rsidR="00E72460" w:rsidRPr="00ED66F5">
        <w:t>2018</w:t>
      </w:r>
      <w:r w:rsidR="008641EB">
        <w:t xml:space="preserve">; </w:t>
      </w:r>
    </w:p>
    <w:p w14:paraId="5F5D54FD" w14:textId="77777777" w:rsidR="00484E49" w:rsidRDefault="001023FB" w:rsidP="00FB0A70">
      <w:pPr>
        <w:spacing w:after="0" w:line="360" w:lineRule="auto"/>
        <w:ind w:left="567" w:firstLine="0"/>
      </w:pPr>
      <w:r w:rsidRPr="00613827">
        <w:rPr>
          <w:b/>
        </w:rPr>
        <w:t>UDITO</w:t>
      </w:r>
      <w:r w:rsidR="008641EB">
        <w:t xml:space="preserve"> il relatore</w:t>
      </w:r>
      <w:r w:rsidR="00447AC6">
        <w:t>,</w:t>
      </w:r>
      <w:r w:rsidR="0074796F">
        <w:t xml:space="preserve"> dott</w:t>
      </w:r>
      <w:r w:rsidR="007F6648">
        <w:t>. Luigi Gianfranceschi</w:t>
      </w:r>
      <w:r w:rsidR="00682CCF">
        <w:t>;</w:t>
      </w:r>
    </w:p>
    <w:p w14:paraId="1A924474" w14:textId="77777777" w:rsidR="00002E79" w:rsidRDefault="00002E79" w:rsidP="0054709D">
      <w:pPr>
        <w:spacing w:after="0" w:line="360" w:lineRule="auto"/>
        <w:ind w:firstLine="0"/>
      </w:pPr>
    </w:p>
    <w:p w14:paraId="7858E81C" w14:textId="77777777" w:rsidR="00DE1DCA" w:rsidRPr="00613827" w:rsidRDefault="00DE1DCA" w:rsidP="00FB0A70">
      <w:pPr>
        <w:spacing w:after="120" w:line="360" w:lineRule="auto"/>
        <w:ind w:left="567" w:firstLine="0"/>
        <w:rPr>
          <w:b/>
        </w:rPr>
      </w:pPr>
      <w:r w:rsidRPr="00613827">
        <w:rPr>
          <w:b/>
        </w:rPr>
        <w:t xml:space="preserve">Considerato in </w:t>
      </w:r>
    </w:p>
    <w:p w14:paraId="05CD6F70" w14:textId="77777777" w:rsidR="008641EB" w:rsidRPr="00770A84" w:rsidRDefault="00770A84" w:rsidP="00FB0A70">
      <w:pPr>
        <w:pStyle w:val="Titolo1"/>
        <w:spacing w:after="120" w:line="360" w:lineRule="auto"/>
        <w:ind w:left="567" w:right="0" w:firstLine="0"/>
        <w:rPr>
          <w:szCs w:val="20"/>
        </w:rPr>
      </w:pPr>
      <w:r>
        <w:rPr>
          <w:szCs w:val="20"/>
        </w:rPr>
        <w:t>FATTO</w:t>
      </w:r>
    </w:p>
    <w:p w14:paraId="3538D981" w14:textId="30ED5A9D" w:rsidR="00BD4E05" w:rsidRDefault="0019527D" w:rsidP="00FB0A70">
      <w:pPr>
        <w:spacing w:after="0" w:line="360" w:lineRule="auto"/>
        <w:ind w:left="567" w:firstLine="708"/>
      </w:pPr>
      <w:r>
        <w:t>Il</w:t>
      </w:r>
      <w:r w:rsidR="00280306">
        <w:t xml:space="preserve"> Sindaco del </w:t>
      </w:r>
      <w:r w:rsidR="00504258">
        <w:t>Com</w:t>
      </w:r>
      <w:r w:rsidR="007A2351">
        <w:t>une di Barile</w:t>
      </w:r>
      <w:r w:rsidR="00C741B2">
        <w:t xml:space="preserve"> ha inoltrato</w:t>
      </w:r>
      <w:r w:rsidR="007A2351">
        <w:t>, in data 4 otto</w:t>
      </w:r>
      <w:r w:rsidR="00504258">
        <w:t>bre</w:t>
      </w:r>
      <w:r>
        <w:t xml:space="preserve"> </w:t>
      </w:r>
      <w:r w:rsidR="007F6648">
        <w:t xml:space="preserve">2018, </w:t>
      </w:r>
      <w:r w:rsidR="00D34B2E">
        <w:t>a questa Se</w:t>
      </w:r>
      <w:r w:rsidR="00280306">
        <w:t>zione un</w:t>
      </w:r>
      <w:r w:rsidR="0088619B">
        <w:t>a</w:t>
      </w:r>
      <w:r w:rsidR="00D34B2E">
        <w:t xml:space="preserve"> richiesta di parere </w:t>
      </w:r>
      <w:r w:rsidR="00504258">
        <w:t xml:space="preserve">ai sensi dell’art. 7, comma 8, della Legge n. 131/2003 </w:t>
      </w:r>
      <w:r w:rsidR="006D758D">
        <w:t>“</w:t>
      </w:r>
      <w:r w:rsidR="00504258" w:rsidRPr="006D758D">
        <w:rPr>
          <w:i/>
        </w:rPr>
        <w:t>c</w:t>
      </w:r>
      <w:r w:rsidR="007A2351" w:rsidRPr="006D758D">
        <w:rPr>
          <w:i/>
        </w:rPr>
        <w:t xml:space="preserve">irca la possibilità, per la costituzione di uffici previsti dall’art. 90 del </w:t>
      </w:r>
      <w:r w:rsidR="006D758D" w:rsidRPr="006D758D">
        <w:rPr>
          <w:i/>
        </w:rPr>
        <w:t xml:space="preserve">TUEL emanato con </w:t>
      </w:r>
      <w:r w:rsidR="007A2351" w:rsidRPr="006D758D">
        <w:rPr>
          <w:i/>
        </w:rPr>
        <w:t xml:space="preserve">D. </w:t>
      </w:r>
      <w:proofErr w:type="spellStart"/>
      <w:r w:rsidR="007A2351" w:rsidRPr="006D758D">
        <w:rPr>
          <w:i/>
        </w:rPr>
        <w:t>Lgs</w:t>
      </w:r>
      <w:proofErr w:type="spellEnd"/>
      <w:r w:rsidR="007A2351" w:rsidRPr="006D758D">
        <w:rPr>
          <w:i/>
        </w:rPr>
        <w:t>. n.</w:t>
      </w:r>
      <w:r w:rsidR="006D758D">
        <w:rPr>
          <w:i/>
        </w:rPr>
        <w:t xml:space="preserve"> </w:t>
      </w:r>
      <w:r w:rsidR="007A2351" w:rsidRPr="006D758D">
        <w:rPr>
          <w:i/>
        </w:rPr>
        <w:t>267/2000, di concludere con personale in quiescenza contratti a tempo determinato che prevedano l’inqu</w:t>
      </w:r>
      <w:r w:rsidR="006D758D" w:rsidRPr="006D758D">
        <w:rPr>
          <w:i/>
        </w:rPr>
        <w:t xml:space="preserve">adramento in </w:t>
      </w:r>
      <w:proofErr w:type="spellStart"/>
      <w:r w:rsidR="006D758D" w:rsidRPr="006D758D">
        <w:rPr>
          <w:i/>
        </w:rPr>
        <w:t>cat</w:t>
      </w:r>
      <w:proofErr w:type="spellEnd"/>
      <w:r w:rsidR="006D758D" w:rsidRPr="006D758D">
        <w:rPr>
          <w:i/>
        </w:rPr>
        <w:t>.</w:t>
      </w:r>
      <w:r w:rsidR="007A2351" w:rsidRPr="006D758D">
        <w:rPr>
          <w:i/>
        </w:rPr>
        <w:t xml:space="preserve"> C del vigente CCNL di comparto, che non </w:t>
      </w:r>
      <w:r w:rsidR="006D758D" w:rsidRPr="006D758D">
        <w:rPr>
          <w:i/>
        </w:rPr>
        <w:t xml:space="preserve">implica un ruolo direttivo e, quindi, rapporti non compresi tra le tipologie di attività (incarichi o cariche) vietati ai pensionati, pubblici o privati, a mente dell’art. 5, comma 9 del D. L. n. 95/2012, come da ultimo modificato dall’art. 17, comma 3, della </w:t>
      </w:r>
      <w:r w:rsidR="00EB7014">
        <w:rPr>
          <w:i/>
        </w:rPr>
        <w:t>L. n. 124/2015</w:t>
      </w:r>
      <w:r w:rsidR="006D758D">
        <w:t>”, premettendo alla stessa il richiamo puntuale all’art. 5, comma 9</w:t>
      </w:r>
      <w:r w:rsidR="00BC3AE1">
        <w:t>,</w:t>
      </w:r>
      <w:r w:rsidR="006D758D">
        <w:t xml:space="preserve"> del D.L. n.95</w:t>
      </w:r>
      <w:r w:rsidR="00C42407">
        <w:t>/2012, convertito, con modificazioni, da</w:t>
      </w:r>
      <w:r w:rsidR="006D758D">
        <w:t xml:space="preserve">lla L. n. 135/2012 e alle successive modifiche e integrazioni di cui all’art. 6 </w:t>
      </w:r>
      <w:r w:rsidR="00EB7014">
        <w:t>del D.L. n. 90/2014 convertito</w:t>
      </w:r>
      <w:r w:rsidR="00C42407">
        <w:t>, con modificazioni, da</w:t>
      </w:r>
      <w:r w:rsidR="00EB7014">
        <w:t>lla L. n. 114/2014 e, da ultimo, all’art. 17, comma 3, della L. n. 124/2015.</w:t>
      </w:r>
    </w:p>
    <w:p w14:paraId="5AC2A7FA" w14:textId="77777777" w:rsidR="0054709D" w:rsidRDefault="0054709D" w:rsidP="0054709D">
      <w:pPr>
        <w:spacing w:after="0" w:line="360" w:lineRule="auto"/>
        <w:ind w:firstLine="0"/>
      </w:pPr>
    </w:p>
    <w:p w14:paraId="04FA593E" w14:textId="4B00F064" w:rsidR="0054709D" w:rsidRDefault="0054709D" w:rsidP="0054709D">
      <w:pPr>
        <w:spacing w:after="0" w:line="360" w:lineRule="auto"/>
        <w:ind w:firstLine="0"/>
      </w:pPr>
    </w:p>
    <w:p w14:paraId="133E5E17" w14:textId="77777777" w:rsidR="0054709D" w:rsidRDefault="0054709D" w:rsidP="0054709D">
      <w:pPr>
        <w:spacing w:after="0" w:line="360" w:lineRule="auto"/>
        <w:ind w:firstLine="0"/>
      </w:pPr>
    </w:p>
    <w:p w14:paraId="5AAC6588" w14:textId="77777777" w:rsidR="00DE1DCA" w:rsidRPr="00613827" w:rsidRDefault="0054709D" w:rsidP="0054709D">
      <w:pPr>
        <w:spacing w:after="0" w:line="360" w:lineRule="auto"/>
        <w:ind w:firstLine="0"/>
        <w:rPr>
          <w:b/>
        </w:rPr>
      </w:pPr>
      <w:r>
        <w:t xml:space="preserve">        </w:t>
      </w:r>
      <w:r w:rsidR="00DE1DCA" w:rsidRPr="00613827">
        <w:rPr>
          <w:b/>
        </w:rPr>
        <w:t>Ritenuto in</w:t>
      </w:r>
    </w:p>
    <w:p w14:paraId="22BFEFB2" w14:textId="77777777" w:rsidR="008641EB" w:rsidRDefault="00770A84" w:rsidP="00FB0A70">
      <w:pPr>
        <w:pStyle w:val="Titolo1"/>
        <w:spacing w:after="120" w:line="360" w:lineRule="auto"/>
        <w:ind w:left="567" w:right="0" w:firstLine="0"/>
        <w:rPr>
          <w:szCs w:val="20"/>
        </w:rPr>
      </w:pPr>
      <w:r>
        <w:rPr>
          <w:szCs w:val="20"/>
        </w:rPr>
        <w:t>DIRITTO</w:t>
      </w:r>
    </w:p>
    <w:p w14:paraId="385B389C" w14:textId="0F61D301" w:rsidR="00C96DC3" w:rsidRDefault="00B31CEC" w:rsidP="00FB0A70">
      <w:pPr>
        <w:spacing w:after="0" w:line="360" w:lineRule="auto"/>
        <w:ind w:left="567" w:firstLine="0"/>
      </w:pPr>
      <w:r>
        <w:t xml:space="preserve">        </w:t>
      </w:r>
      <w:r w:rsidRPr="003E6F32">
        <w:rPr>
          <w:b/>
        </w:rPr>
        <w:t>1</w:t>
      </w:r>
      <w:r w:rsidRPr="003E6F32">
        <w:t>.</w:t>
      </w:r>
      <w:r w:rsidR="003E6F32">
        <w:rPr>
          <w:b/>
        </w:rPr>
        <w:t xml:space="preserve"> </w:t>
      </w:r>
      <w:r w:rsidR="008641EB">
        <w:t xml:space="preserve">L’articolo 7, comma 8, della legge 5 giugno 2003, n. 131 - disposizione che è </w:t>
      </w:r>
      <w:r w:rsidR="002E7A05">
        <w:t xml:space="preserve">stata individuata </w:t>
      </w:r>
      <w:r w:rsidR="00C42407">
        <w:t xml:space="preserve">essere </w:t>
      </w:r>
      <w:r w:rsidR="002E7A05">
        <w:t>dalla costante giurisprudenza conta</w:t>
      </w:r>
      <w:r w:rsidR="00C42407">
        <w:t>bile</w:t>
      </w:r>
      <w:r w:rsidR="008641EB">
        <w:t xml:space="preserve"> il fondamento normativo della funzione consultiva intestata alle Sezioni regionali di controllo della Corte dei conti </w:t>
      </w:r>
      <w:r w:rsidR="002E7A05">
        <w:t>–</w:t>
      </w:r>
      <w:r w:rsidR="008641EB">
        <w:t xml:space="preserve"> attribuisce</w:t>
      </w:r>
      <w:r w:rsidR="002E7A05">
        <w:t xml:space="preserve"> sia </w:t>
      </w:r>
      <w:r w:rsidR="008641EB">
        <w:t xml:space="preserve">alle Regioni e, tramite il Consiglio delle Autonomie locali, se istituito, </w:t>
      </w:r>
      <w:r w:rsidR="002E7A05">
        <w:t>sia</w:t>
      </w:r>
      <w:r w:rsidR="008641EB">
        <w:t xml:space="preserve"> ai Comuni, </w:t>
      </w:r>
      <w:r w:rsidR="002E7A05">
        <w:t xml:space="preserve">alle </w:t>
      </w:r>
      <w:r w:rsidR="008641EB">
        <w:t>Province e</w:t>
      </w:r>
      <w:r w:rsidR="002E7A05">
        <w:t xml:space="preserve"> alle</w:t>
      </w:r>
      <w:r w:rsidR="008641EB">
        <w:t xml:space="preserve"> Città metropolitane la facoltà di richiedere alla Corte dei conti pareri in materia di contabilità pubblica. </w:t>
      </w:r>
    </w:p>
    <w:p w14:paraId="1E979450" w14:textId="77777777" w:rsidR="00BF731C" w:rsidRDefault="00BF731C" w:rsidP="00FB0A70">
      <w:pPr>
        <w:spacing w:after="0" w:line="360" w:lineRule="auto"/>
        <w:ind w:left="567" w:firstLine="708"/>
        <w:rPr>
          <w:b/>
        </w:rPr>
      </w:pPr>
    </w:p>
    <w:p w14:paraId="38217A29" w14:textId="77777777" w:rsidR="003B77B9" w:rsidRDefault="00B31CEC" w:rsidP="00FB0A70">
      <w:pPr>
        <w:spacing w:after="0" w:line="360" w:lineRule="auto"/>
        <w:ind w:left="567" w:firstLine="708"/>
        <w:rPr>
          <w:b/>
        </w:rPr>
      </w:pPr>
      <w:r w:rsidRPr="003E6F32">
        <w:rPr>
          <w:b/>
        </w:rPr>
        <w:lastRenderedPageBreak/>
        <w:t>2</w:t>
      </w:r>
      <w:r>
        <w:t xml:space="preserve">. </w:t>
      </w:r>
      <w:r w:rsidR="008641EB">
        <w:t>In via preliminare la Sezione è chiamata a verificare i profili di ammissibilità soggettiva (legittimazione dell’organo richiedente) e oggettiva (attinenza del quesito alla materia della contabilità pubblica, generalità ed astrattezza del quesito proposto, mancanza di interferenza con altre funzioni svolte dalla magistratura contabile o con giudizi pendenti</w:t>
      </w:r>
      <w:r w:rsidR="002E7A05">
        <w:t xml:space="preserve"> o </w:t>
      </w:r>
      <w:r w:rsidR="008C2693">
        <w:t>potenzialmente</w:t>
      </w:r>
      <w:r w:rsidR="008E37C2">
        <w:t xml:space="preserve"> instaurabili</w:t>
      </w:r>
      <w:r w:rsidR="008C2693">
        <w:t xml:space="preserve"> presso</w:t>
      </w:r>
      <w:r w:rsidR="008E37C2">
        <w:t xml:space="preserve"> le</w:t>
      </w:r>
      <w:r w:rsidR="008C2693">
        <w:t xml:space="preserve"> magistrature</w:t>
      </w:r>
      <w:r w:rsidR="002E7A05">
        <w:t xml:space="preserve"> </w:t>
      </w:r>
      <w:r w:rsidR="008C2693">
        <w:t>sia civile</w:t>
      </w:r>
      <w:r w:rsidR="008641EB">
        <w:t xml:space="preserve"> </w:t>
      </w:r>
      <w:r w:rsidR="002E7A05">
        <w:t>che</w:t>
      </w:r>
      <w:r w:rsidR="008641EB">
        <w:t xml:space="preserve"> amministrativa).</w:t>
      </w:r>
      <w:r w:rsidR="008641EB">
        <w:rPr>
          <w:b/>
        </w:rPr>
        <w:t xml:space="preserve">  </w:t>
      </w:r>
    </w:p>
    <w:p w14:paraId="77583A1A" w14:textId="77777777" w:rsidR="00C96DC3" w:rsidRDefault="008641EB" w:rsidP="00FB0A70">
      <w:pPr>
        <w:spacing w:after="0" w:line="360" w:lineRule="auto"/>
        <w:ind w:left="567" w:firstLine="708"/>
      </w:pPr>
      <w:r>
        <w:rPr>
          <w:b/>
        </w:rPr>
        <w:t xml:space="preserve">         </w:t>
      </w:r>
    </w:p>
    <w:p w14:paraId="0EB9F507" w14:textId="5D06C21A" w:rsidR="00A53FBB" w:rsidRDefault="003B77B9" w:rsidP="00FB0A70">
      <w:pPr>
        <w:spacing w:after="0" w:line="360" w:lineRule="auto"/>
        <w:ind w:left="567" w:firstLine="708"/>
      </w:pPr>
      <w:r>
        <w:rPr>
          <w:b/>
        </w:rPr>
        <w:t xml:space="preserve">2.1 </w:t>
      </w:r>
      <w:r w:rsidR="008641EB">
        <w:t>In relazione al primo profilo</w:t>
      </w:r>
      <w:r w:rsidR="00A53FBB">
        <w:t xml:space="preserve"> (ammissibilità soggettiva), si rileva che la richiesta di parere</w:t>
      </w:r>
      <w:r w:rsidR="001469D3">
        <w:t xml:space="preserve"> è sottoscritta d</w:t>
      </w:r>
      <w:r w:rsidR="00F95363">
        <w:t>al Sindaco</w:t>
      </w:r>
      <w:r w:rsidR="00EB7014">
        <w:t xml:space="preserve"> del Comune di Barile</w:t>
      </w:r>
      <w:r w:rsidR="001469D3">
        <w:t>, il quale è, ai sensi dell’articolo 50, comma 2, TUEL, o</w:t>
      </w:r>
      <w:r w:rsidR="00C93A21">
        <w:t>rgano rappresentativo dell’Ente e, dunque, organo istituzionalmente legittimato alla sua proposizione,</w:t>
      </w:r>
      <w:r w:rsidR="001469D3">
        <w:t xml:space="preserve"> per cui non vi è dubbio in merito alla sussistenza del req</w:t>
      </w:r>
      <w:r w:rsidR="006F3CBF">
        <w:t>uisito predetto</w:t>
      </w:r>
      <w:r w:rsidR="001469D3">
        <w:t>.</w:t>
      </w:r>
    </w:p>
    <w:p w14:paraId="0EF9D182" w14:textId="2BA2662A" w:rsidR="001469D3" w:rsidRDefault="00A16464" w:rsidP="00FB0A70">
      <w:pPr>
        <w:spacing w:after="0" w:line="360" w:lineRule="auto"/>
        <w:ind w:left="567" w:firstLine="708"/>
      </w:pPr>
      <w:r>
        <w:t>Per</w:t>
      </w:r>
      <w:r w:rsidR="00B54E72">
        <w:t xml:space="preserve"> consolidato orientamento </w:t>
      </w:r>
      <w:r w:rsidR="00712352">
        <w:t xml:space="preserve">giurisprudenziale </w:t>
      </w:r>
      <w:r>
        <w:t>delle Sezioni regionali controllo</w:t>
      </w:r>
      <w:r w:rsidR="00B54E72">
        <w:t xml:space="preserve">, </w:t>
      </w:r>
      <w:r w:rsidR="00996592">
        <w:t>condiviso</w:t>
      </w:r>
      <w:r>
        <w:t xml:space="preserve"> anche da questa Sezione, </w:t>
      </w:r>
      <w:r w:rsidR="00B54E72">
        <w:t>n</w:t>
      </w:r>
      <w:r w:rsidR="001469D3">
        <w:t xml:space="preserve">on può </w:t>
      </w:r>
      <w:r w:rsidR="00F21410">
        <w:t>ritenersi di ostacolo all’</w:t>
      </w:r>
      <w:r w:rsidR="00996592">
        <w:t xml:space="preserve"> ammiss</w:t>
      </w:r>
      <w:r w:rsidR="001469D3">
        <w:t>ibi</w:t>
      </w:r>
      <w:r w:rsidR="00712352">
        <w:t>lità della richiesta la mancata costituzione,</w:t>
      </w:r>
      <w:r w:rsidR="001469D3">
        <w:t xml:space="preserve"> nella Regione Basilicata</w:t>
      </w:r>
      <w:r w:rsidR="00712352">
        <w:t>,</w:t>
      </w:r>
      <w:r w:rsidR="001469D3">
        <w:t xml:space="preserve"> del Consiglio delle Autonomie Locali che, ai sensi dell’art. 123, comma 4</w:t>
      </w:r>
      <w:r w:rsidR="00996592">
        <w:t>,</w:t>
      </w:r>
      <w:r w:rsidR="001469D3">
        <w:t xml:space="preserve"> della Costituzione</w:t>
      </w:r>
      <w:r w:rsidR="00B54E72">
        <w:t>,</w:t>
      </w:r>
      <w:r w:rsidR="001469D3">
        <w:t xml:space="preserve"> deve essere disciplinato dallo Statuto di ogni Regione, “</w:t>
      </w:r>
      <w:r w:rsidR="001469D3" w:rsidRPr="001469D3">
        <w:rPr>
          <w:i/>
        </w:rPr>
        <w:t xml:space="preserve">quale organo di consultazione </w:t>
      </w:r>
      <w:r w:rsidR="001469D3">
        <w:rPr>
          <w:i/>
        </w:rPr>
        <w:t>tra la Regione e gli enti locali</w:t>
      </w:r>
      <w:r w:rsidR="001469D3">
        <w:t>”</w:t>
      </w:r>
      <w:r w:rsidR="00AE5146">
        <w:t>. Il Consiglio delle Au</w:t>
      </w:r>
      <w:r w:rsidR="00C42407">
        <w:t xml:space="preserve">tonomie Locali, se istituito, sarebbe </w:t>
      </w:r>
      <w:r w:rsidR="00AE5146">
        <w:t>destinato a svolgere,</w:t>
      </w:r>
      <w:r w:rsidR="00712352">
        <w:t xml:space="preserve"> tra l’altro,</w:t>
      </w:r>
      <w:r w:rsidR="00AE5146">
        <w:t xml:space="preserve"> secondo il dettato dell’art. 7, comma 8</w:t>
      </w:r>
      <w:r w:rsidR="00996592">
        <w:t>,</w:t>
      </w:r>
      <w:r w:rsidR="00AE5146">
        <w:t xml:space="preserve"> della Legge n. 131/2003, una funzione di filtro per le richieste di parere </w:t>
      </w:r>
      <w:r w:rsidR="00712352">
        <w:t xml:space="preserve">degli Enti locali </w:t>
      </w:r>
      <w:r w:rsidR="00AE5146">
        <w:t>da sottoporre alle Sezioni regionali di controllo.</w:t>
      </w:r>
    </w:p>
    <w:p w14:paraId="20E7120A" w14:textId="757CF927" w:rsidR="00B54E72" w:rsidRDefault="00C42407" w:rsidP="00FB0A70">
      <w:pPr>
        <w:spacing w:after="0" w:line="360" w:lineRule="auto"/>
        <w:ind w:left="567" w:firstLine="708"/>
      </w:pPr>
      <w:r>
        <w:t>In effetti</w:t>
      </w:r>
      <w:r w:rsidR="001C75E4">
        <w:t xml:space="preserve"> gli </w:t>
      </w:r>
      <w:r w:rsidR="00AE5146">
        <w:t>art</w:t>
      </w:r>
      <w:r w:rsidR="001C75E4">
        <w:t>t</w:t>
      </w:r>
      <w:r w:rsidR="00AE5146">
        <w:t xml:space="preserve">. 78 </w:t>
      </w:r>
      <w:r w:rsidR="001C75E4">
        <w:t>e seguent</w:t>
      </w:r>
      <w:r w:rsidR="00996592">
        <w:t>i del nuovo Statuto regionale (Legge S</w:t>
      </w:r>
      <w:r w:rsidR="001C75E4">
        <w:t xml:space="preserve">tatutaria 17 novembre 2016, n.1) hanno </w:t>
      </w:r>
      <w:r w:rsidR="006F3CBF">
        <w:t>previsto l’istituzione del Consiglio delle Autonomie Locali che, allo stato attuale, non è</w:t>
      </w:r>
      <w:r w:rsidR="00996592">
        <w:t xml:space="preserve"> ancora operante in quanto non è stata ancora approvata</w:t>
      </w:r>
      <w:r w:rsidR="006F3CBF">
        <w:t xml:space="preserve"> la legge regionale che disciplina </w:t>
      </w:r>
      <w:r>
        <w:t xml:space="preserve">le </w:t>
      </w:r>
      <w:r w:rsidR="006F3CBF">
        <w:t xml:space="preserve">modalità di elezione, </w:t>
      </w:r>
      <w:r>
        <w:t xml:space="preserve">la </w:t>
      </w:r>
      <w:r w:rsidR="006F3CBF">
        <w:t xml:space="preserve">composizione e </w:t>
      </w:r>
      <w:r>
        <w:t xml:space="preserve">le </w:t>
      </w:r>
      <w:r w:rsidR="006F3CBF">
        <w:t>competenze</w:t>
      </w:r>
      <w:r w:rsidR="00B54E72">
        <w:t xml:space="preserve"> dello stesso.</w:t>
      </w:r>
    </w:p>
    <w:p w14:paraId="5BABCABE" w14:textId="77777777" w:rsidR="00C96DC3" w:rsidRDefault="00996592" w:rsidP="00FB0A70">
      <w:pPr>
        <w:spacing w:after="0" w:line="360" w:lineRule="auto"/>
        <w:ind w:left="567" w:firstLine="708"/>
      </w:pPr>
      <w:r>
        <w:t>L</w:t>
      </w:r>
      <w:r w:rsidR="006F3CBF">
        <w:t>a Sezione</w:t>
      </w:r>
      <w:r>
        <w:t>, pertanto,</w:t>
      </w:r>
      <w:r w:rsidR="006F3CBF">
        <w:t xml:space="preserve"> ritiene soggettivamente ammissibile la richiesta di parere.</w:t>
      </w:r>
    </w:p>
    <w:p w14:paraId="688DD54E" w14:textId="77777777" w:rsidR="003B77B9" w:rsidRDefault="003B77B9" w:rsidP="00FB0A70">
      <w:pPr>
        <w:spacing w:after="0" w:line="360" w:lineRule="auto"/>
        <w:ind w:left="567" w:firstLine="708"/>
      </w:pPr>
    </w:p>
    <w:p w14:paraId="243CFBF6" w14:textId="6B6A607C" w:rsidR="008C4A92" w:rsidRPr="00CF685B" w:rsidRDefault="003B77B9" w:rsidP="00CF685B">
      <w:pPr>
        <w:widowControl w:val="0"/>
        <w:autoSpaceDE w:val="0"/>
        <w:autoSpaceDN w:val="0"/>
        <w:adjustRightInd w:val="0"/>
        <w:spacing w:line="360" w:lineRule="auto"/>
        <w:ind w:left="567" w:firstLine="709"/>
        <w:rPr>
          <w:rFonts w:eastAsia="Times New Roman"/>
          <w:szCs w:val="20"/>
        </w:rPr>
      </w:pPr>
      <w:r>
        <w:rPr>
          <w:b/>
        </w:rPr>
        <w:t>2.2</w:t>
      </w:r>
      <w:r w:rsidR="008C4A92">
        <w:t xml:space="preserve"> </w:t>
      </w:r>
      <w:r w:rsidR="008C4A92" w:rsidRPr="00A74848">
        <w:rPr>
          <w:rFonts w:eastAsia="Times New Roman"/>
          <w:szCs w:val="20"/>
        </w:rPr>
        <w:t>C</w:t>
      </w:r>
      <w:r w:rsidR="008E37C2">
        <w:rPr>
          <w:rFonts w:eastAsia="Times New Roman"/>
          <w:szCs w:val="20"/>
        </w:rPr>
        <w:t>on riferimento alla verifica dei profili oggettivi</w:t>
      </w:r>
      <w:r w:rsidR="008C4A92" w:rsidRPr="00A74848">
        <w:rPr>
          <w:rFonts w:eastAsia="Times New Roman"/>
          <w:szCs w:val="20"/>
        </w:rPr>
        <w:t xml:space="preserve"> di ammissibilità del quesito, i</w:t>
      </w:r>
      <w:r>
        <w:rPr>
          <w:rFonts w:eastAsia="Times New Roman"/>
          <w:szCs w:val="20"/>
        </w:rPr>
        <w:t>n primo luogo occorre evidenziare</w:t>
      </w:r>
      <w:r w:rsidR="008C4A92" w:rsidRPr="00A74848">
        <w:rPr>
          <w:rFonts w:eastAsia="Times New Roman"/>
          <w:szCs w:val="20"/>
        </w:rPr>
        <w:t xml:space="preserve"> che la disposizione contenuta </w:t>
      </w:r>
      <w:r>
        <w:rPr>
          <w:rFonts w:eastAsia="Times New Roman"/>
          <w:szCs w:val="20"/>
        </w:rPr>
        <w:t>nel comma 8 dell’art. 7</w:t>
      </w:r>
      <w:r w:rsidR="008C4A92" w:rsidRPr="00A74848">
        <w:rPr>
          <w:rFonts w:eastAsia="Times New Roman"/>
          <w:szCs w:val="20"/>
        </w:rPr>
        <w:t xml:space="preserve"> della legge </w:t>
      </w:r>
      <w:r>
        <w:rPr>
          <w:rFonts w:eastAsia="Times New Roman"/>
          <w:szCs w:val="20"/>
        </w:rPr>
        <w:t xml:space="preserve">n. </w:t>
      </w:r>
      <w:r w:rsidR="008C4A92" w:rsidRPr="00A74848">
        <w:rPr>
          <w:rFonts w:eastAsia="Times New Roman"/>
          <w:szCs w:val="20"/>
        </w:rPr>
        <w:t>131/2003 deve essere raccordata con il precedente comma 7, norma che attribuisce alla Corte dei conti la funzione di verificare il rispetto degli equilibri di bilancio, il perseguimento degli obiettivi posti da leggi statali e regionali di principio e di programma, la s</w:t>
      </w:r>
      <w:r w:rsidR="008E37C2">
        <w:rPr>
          <w:rFonts w:eastAsia="Times New Roman"/>
          <w:szCs w:val="20"/>
        </w:rPr>
        <w:t>ana gestione finanziaria degli E</w:t>
      </w:r>
      <w:r w:rsidR="005940AF">
        <w:rPr>
          <w:rFonts w:eastAsia="Times New Roman"/>
          <w:szCs w:val="20"/>
        </w:rPr>
        <w:t>nti L</w:t>
      </w:r>
      <w:r w:rsidR="008C4A92" w:rsidRPr="00A74848">
        <w:rPr>
          <w:rFonts w:eastAsia="Times New Roman"/>
          <w:szCs w:val="20"/>
        </w:rPr>
        <w:t>ocali.</w:t>
      </w:r>
    </w:p>
    <w:p w14:paraId="529AD20D" w14:textId="76D785D7" w:rsidR="008C4A92" w:rsidRPr="00A74848" w:rsidRDefault="00C42407" w:rsidP="00FB0A70">
      <w:pPr>
        <w:spacing w:line="360" w:lineRule="auto"/>
        <w:ind w:left="567" w:firstLine="720"/>
        <w:rPr>
          <w:rFonts w:eastAsia="Times New Roman"/>
          <w:szCs w:val="20"/>
        </w:rPr>
      </w:pPr>
      <w:r>
        <w:rPr>
          <w:rFonts w:eastAsia="Times New Roman"/>
          <w:szCs w:val="20"/>
        </w:rPr>
        <w:t>Lo svolgimento della</w:t>
      </w:r>
      <w:r w:rsidR="008C4A92" w:rsidRPr="00A74848">
        <w:rPr>
          <w:rFonts w:eastAsia="Times New Roman"/>
          <w:szCs w:val="20"/>
        </w:rPr>
        <w:t xml:space="preserve"> funzi</w:t>
      </w:r>
      <w:r>
        <w:rPr>
          <w:rFonts w:eastAsia="Times New Roman"/>
          <w:szCs w:val="20"/>
        </w:rPr>
        <w:t>one</w:t>
      </w:r>
      <w:r w:rsidR="008E37C2">
        <w:rPr>
          <w:rFonts w:eastAsia="Times New Roman"/>
          <w:szCs w:val="20"/>
        </w:rPr>
        <w:t xml:space="preserve"> è qualificato dallo stesso L</w:t>
      </w:r>
      <w:r w:rsidR="008C4A92" w:rsidRPr="00A74848">
        <w:rPr>
          <w:rFonts w:eastAsia="Times New Roman"/>
          <w:szCs w:val="20"/>
        </w:rPr>
        <w:t>egislatore come una forma di controllo collaborativo.</w:t>
      </w:r>
    </w:p>
    <w:p w14:paraId="187913B8" w14:textId="2DB08174" w:rsidR="008C4A92" w:rsidRDefault="008C4A92" w:rsidP="00FB0A70">
      <w:pPr>
        <w:spacing w:line="360" w:lineRule="auto"/>
        <w:ind w:left="567" w:firstLine="720"/>
        <w:rPr>
          <w:rFonts w:eastAsia="Times New Roman"/>
          <w:szCs w:val="20"/>
        </w:rPr>
      </w:pPr>
      <w:r w:rsidRPr="00A74848">
        <w:rPr>
          <w:rFonts w:eastAsia="Times New Roman"/>
          <w:szCs w:val="20"/>
        </w:rPr>
        <w:t>Il raccordo tra le due disposizioni opera</w:t>
      </w:r>
      <w:r w:rsidR="00C42407">
        <w:rPr>
          <w:rFonts w:eastAsia="Times New Roman"/>
          <w:szCs w:val="20"/>
        </w:rPr>
        <w:t>, poi,</w:t>
      </w:r>
      <w:r w:rsidRPr="00A74848">
        <w:rPr>
          <w:rFonts w:eastAsia="Times New Roman"/>
          <w:szCs w:val="20"/>
        </w:rPr>
        <w:t xml:space="preserve"> nel senso che il comma 8 prevede forme di collaborazione ulteriori rispetto a quelle del precedente comma, rese esplicite, in partic</w:t>
      </w:r>
      <w:r w:rsidR="008E37C2">
        <w:rPr>
          <w:rFonts w:eastAsia="Times New Roman"/>
          <w:szCs w:val="20"/>
        </w:rPr>
        <w:t>olare, con l’attribuzione agli E</w:t>
      </w:r>
      <w:r w:rsidRPr="00A74848">
        <w:rPr>
          <w:rFonts w:eastAsia="Times New Roman"/>
          <w:szCs w:val="20"/>
        </w:rPr>
        <w:t>nti</w:t>
      </w:r>
      <w:r w:rsidR="00996592">
        <w:rPr>
          <w:rFonts w:eastAsia="Times New Roman"/>
          <w:szCs w:val="20"/>
        </w:rPr>
        <w:t xml:space="preserve"> territoriali</w:t>
      </w:r>
      <w:r w:rsidRPr="00A74848">
        <w:rPr>
          <w:rFonts w:eastAsia="Times New Roman"/>
          <w:szCs w:val="20"/>
        </w:rPr>
        <w:t xml:space="preserve"> della facoltà di chiedere pareri in materia di contabilità pubblica. In quest’ottica, appare chiaro che le Sezioni regionali della Corte </w:t>
      </w:r>
      <w:r w:rsidRPr="00A74848">
        <w:rPr>
          <w:rFonts w:eastAsia="Times New Roman"/>
          <w:szCs w:val="20"/>
        </w:rPr>
        <w:lastRenderedPageBreak/>
        <w:t>dei conti non svolgono una funzione consultiva a cara</w:t>
      </w:r>
      <w:r w:rsidR="0074796F">
        <w:rPr>
          <w:rFonts w:eastAsia="Times New Roman"/>
          <w:szCs w:val="20"/>
        </w:rPr>
        <w:t>ttere generale in favore degli Enti L</w:t>
      </w:r>
      <w:r w:rsidR="00996592">
        <w:rPr>
          <w:rFonts w:eastAsia="Times New Roman"/>
          <w:szCs w:val="20"/>
        </w:rPr>
        <w:t xml:space="preserve">ocali, ma che </w:t>
      </w:r>
      <w:r w:rsidRPr="00A74848">
        <w:rPr>
          <w:rFonts w:eastAsia="Times New Roman"/>
          <w:szCs w:val="20"/>
        </w:rPr>
        <w:t>le attribuzioni consultive “in materia di contabilità pubblica” si ritagliano sulle funzioni sostan</w:t>
      </w:r>
      <w:r w:rsidR="00996592">
        <w:rPr>
          <w:rFonts w:eastAsia="Times New Roman"/>
          <w:szCs w:val="20"/>
        </w:rPr>
        <w:t>ziali di controllo</w:t>
      </w:r>
      <w:r w:rsidRPr="00A74848">
        <w:rPr>
          <w:rFonts w:eastAsia="Times New Roman"/>
          <w:szCs w:val="20"/>
        </w:rPr>
        <w:t xml:space="preserve"> ad esse conferite dalla legislazione positiva. </w:t>
      </w:r>
    </w:p>
    <w:p w14:paraId="77F628E5" w14:textId="1DBEEA50" w:rsidR="00175975" w:rsidRDefault="00C42407" w:rsidP="00FB0A70">
      <w:pPr>
        <w:pStyle w:val="Corpo"/>
        <w:widowControl w:val="0"/>
        <w:spacing w:after="4" w:line="360" w:lineRule="auto"/>
        <w:ind w:left="567"/>
        <w:jc w:val="both"/>
        <w:rPr>
          <w:rFonts w:ascii="Verdana" w:hAnsi="Verdana" w:cs="Times New Roman"/>
          <w:iCs/>
          <w:sz w:val="20"/>
          <w:szCs w:val="20"/>
        </w:rPr>
      </w:pPr>
      <w:r>
        <w:rPr>
          <w:rFonts w:ascii="Verdana" w:hAnsi="Verdana" w:cs="Times New Roman"/>
          <w:iCs/>
          <w:sz w:val="20"/>
          <w:szCs w:val="20"/>
        </w:rPr>
        <w:t xml:space="preserve">          A tale riguardo, va richiamata l’attenzione sul fatto che l</w:t>
      </w:r>
      <w:r w:rsidR="00175975">
        <w:rPr>
          <w:rFonts w:ascii="Verdana" w:hAnsi="Verdana" w:cs="Times New Roman"/>
          <w:iCs/>
          <w:sz w:val="20"/>
          <w:szCs w:val="20"/>
        </w:rPr>
        <w:t>a perimetrazione del significato e della portata dell’espressione “</w:t>
      </w:r>
      <w:r w:rsidR="00175975">
        <w:rPr>
          <w:rFonts w:ascii="Verdana" w:hAnsi="Verdana" w:cs="Times New Roman"/>
          <w:i/>
          <w:iCs/>
          <w:sz w:val="20"/>
          <w:szCs w:val="20"/>
        </w:rPr>
        <w:t xml:space="preserve">materia di contabilità pubblica” </w:t>
      </w:r>
      <w:r w:rsidR="00175975">
        <w:rPr>
          <w:rFonts w:ascii="Verdana" w:hAnsi="Verdana" w:cs="Times New Roman"/>
          <w:iCs/>
          <w:sz w:val="20"/>
          <w:szCs w:val="20"/>
        </w:rPr>
        <w:t xml:space="preserve">è stata oggetto di specifici interventi </w:t>
      </w:r>
      <w:r w:rsidR="00971B1F" w:rsidRPr="00971B1F">
        <w:rPr>
          <w:rFonts w:ascii="Calibri" w:hAnsi="Calibri" w:cs="Times New Roman"/>
          <w:iCs/>
          <w:sz w:val="20"/>
          <w:szCs w:val="20"/>
        </w:rPr>
        <w:t>–</w:t>
      </w:r>
      <w:r w:rsidR="00175975">
        <w:rPr>
          <w:rFonts w:ascii="Verdana" w:hAnsi="Verdana" w:cs="Times New Roman"/>
          <w:iCs/>
          <w:sz w:val="20"/>
          <w:szCs w:val="20"/>
        </w:rPr>
        <w:t xml:space="preserve"> in chiave ermeneutica </w:t>
      </w:r>
      <w:r w:rsidR="00971B1F" w:rsidRPr="00971B1F">
        <w:rPr>
          <w:rFonts w:ascii="Calibri" w:hAnsi="Calibri" w:cs="Times New Roman"/>
          <w:iCs/>
          <w:sz w:val="20"/>
          <w:szCs w:val="20"/>
        </w:rPr>
        <w:t>–</w:t>
      </w:r>
      <w:r w:rsidR="00175975">
        <w:rPr>
          <w:rFonts w:ascii="Verdana" w:hAnsi="Verdana" w:cs="Times New Roman"/>
          <w:iCs/>
          <w:sz w:val="20"/>
          <w:szCs w:val="20"/>
        </w:rPr>
        <w:t xml:space="preserve"> della Corte dei conti </w:t>
      </w:r>
      <w:r w:rsidR="006F3CBF">
        <w:rPr>
          <w:rFonts w:ascii="Verdana" w:hAnsi="Verdana" w:cs="Times New Roman"/>
          <w:iCs/>
          <w:sz w:val="20"/>
          <w:szCs w:val="20"/>
        </w:rPr>
        <w:t xml:space="preserve">(cfr., </w:t>
      </w:r>
      <w:r w:rsidR="006F3CBF" w:rsidRPr="006F3CBF">
        <w:rPr>
          <w:rFonts w:ascii="Verdana" w:hAnsi="Verdana" w:cs="Times New Roman"/>
          <w:i/>
          <w:iCs/>
          <w:sz w:val="20"/>
          <w:szCs w:val="20"/>
        </w:rPr>
        <w:t xml:space="preserve">ex </w:t>
      </w:r>
      <w:proofErr w:type="spellStart"/>
      <w:r w:rsidR="006F3CBF" w:rsidRPr="006F3CBF">
        <w:rPr>
          <w:rFonts w:ascii="Verdana" w:hAnsi="Verdana" w:cs="Times New Roman"/>
          <w:i/>
          <w:iCs/>
          <w:sz w:val="20"/>
          <w:szCs w:val="20"/>
        </w:rPr>
        <w:t>multis</w:t>
      </w:r>
      <w:proofErr w:type="spellEnd"/>
      <w:r w:rsidR="00175975">
        <w:rPr>
          <w:rFonts w:ascii="Verdana" w:hAnsi="Verdana" w:cs="Times New Roman"/>
          <w:iCs/>
          <w:sz w:val="20"/>
          <w:szCs w:val="20"/>
        </w:rPr>
        <w:t xml:space="preserve">, la deliberazione della Sezione Autonomie del 27 aprile 2004 così come integrata </w:t>
      </w:r>
      <w:r w:rsidR="00175975">
        <w:rPr>
          <w:rFonts w:ascii="Verdana" w:hAnsi="Verdana" w:cs="Times New Roman"/>
          <w:sz w:val="20"/>
          <w:szCs w:val="20"/>
        </w:rPr>
        <w:t xml:space="preserve">e modificata dalla deliberazione della medesima Sezione del 4 giugno 2009, n. 9; la deliberazione della </w:t>
      </w:r>
      <w:r w:rsidR="00175975">
        <w:rPr>
          <w:rFonts w:ascii="Verdana" w:hAnsi="Verdana" w:cs="Times New Roman"/>
          <w:iCs/>
          <w:sz w:val="20"/>
          <w:szCs w:val="20"/>
        </w:rPr>
        <w:t>Sezione Autonomie n. 5/2006; la deliberazione delle Sezioni Riunite in sede di controllo n. 54 del 2010; la deliberazione delle Sezioni Riunite in sede di controllo n. 27/2011; la deliberazione de</w:t>
      </w:r>
      <w:r w:rsidR="0075134C">
        <w:rPr>
          <w:rFonts w:ascii="Verdana" w:hAnsi="Verdana" w:cs="Times New Roman"/>
          <w:iCs/>
          <w:sz w:val="20"/>
          <w:szCs w:val="20"/>
        </w:rPr>
        <w:t>lla Sezione Autonomie n. 3/2014</w:t>
      </w:r>
      <w:r w:rsidR="00175975">
        <w:rPr>
          <w:rFonts w:ascii="Verdana" w:hAnsi="Verdana" w:cs="Times New Roman"/>
          <w:iCs/>
          <w:sz w:val="20"/>
          <w:szCs w:val="20"/>
        </w:rPr>
        <w:t>).</w:t>
      </w:r>
    </w:p>
    <w:p w14:paraId="398BDC18" w14:textId="77777777" w:rsidR="00175975" w:rsidRDefault="0075134C" w:rsidP="00FB0A70">
      <w:pPr>
        <w:pStyle w:val="Corpo"/>
        <w:widowControl w:val="0"/>
        <w:spacing w:after="4" w:line="360" w:lineRule="auto"/>
        <w:ind w:left="567"/>
        <w:jc w:val="both"/>
        <w:rPr>
          <w:rFonts w:ascii="Verdana" w:hAnsi="Verdana" w:cs="Times New Roman"/>
          <w:iCs/>
          <w:sz w:val="20"/>
          <w:szCs w:val="20"/>
        </w:rPr>
      </w:pPr>
      <w:r>
        <w:rPr>
          <w:rFonts w:ascii="Verdana" w:hAnsi="Verdana" w:cs="Times New Roman"/>
          <w:iCs/>
          <w:sz w:val="20"/>
          <w:szCs w:val="20"/>
        </w:rPr>
        <w:t xml:space="preserve">         </w:t>
      </w:r>
      <w:r w:rsidR="00175975">
        <w:rPr>
          <w:rFonts w:ascii="Verdana" w:hAnsi="Verdana" w:cs="Times New Roman"/>
          <w:iCs/>
          <w:sz w:val="20"/>
          <w:szCs w:val="20"/>
        </w:rPr>
        <w:t xml:space="preserve">Alla luce dei suddetti approdi ermeneutici, la “materia della contabilità pubblica” non va intesa come semplice tenuta delle scritture contabili e/o come normativa avente per oggetto le modalità di acquisizione delle entrate e di erogazione delle spese, ma non può neppure estendersi sino a ricomprendere tutti i vari ambiti dell’azione amministrativa </w:t>
      </w:r>
      <w:r w:rsidR="00175975">
        <w:rPr>
          <w:rFonts w:ascii="Verdana" w:hAnsi="Verdana" w:cs="Times New Roman"/>
          <w:i/>
          <w:iCs/>
          <w:sz w:val="20"/>
          <w:szCs w:val="20"/>
        </w:rPr>
        <w:t>“</w:t>
      </w:r>
      <w:r w:rsidR="00175975" w:rsidRPr="00A61B2E">
        <w:rPr>
          <w:rFonts w:ascii="Verdana" w:hAnsi="Verdana" w:cs="Times New Roman"/>
          <w:i/>
          <w:iCs/>
          <w:sz w:val="20"/>
          <w:szCs w:val="20"/>
        </w:rPr>
        <w:t>(..)</w:t>
      </w:r>
      <w:r w:rsidR="00175975">
        <w:rPr>
          <w:rFonts w:ascii="Verdana" w:hAnsi="Verdana" w:cs="Times New Roman"/>
          <w:i/>
          <w:iCs/>
          <w:sz w:val="20"/>
          <w:szCs w:val="20"/>
        </w:rPr>
        <w:t xml:space="preserve"> con l’ulteriore conseguenza che le Sezioni regionali di controllo diventerebbero organi di consulenza generale della autonomie locali”</w:t>
      </w:r>
      <w:r w:rsidR="00175975">
        <w:rPr>
          <w:rFonts w:ascii="Verdana" w:hAnsi="Verdana" w:cs="Times New Roman"/>
          <w:iCs/>
          <w:sz w:val="20"/>
          <w:szCs w:val="20"/>
        </w:rPr>
        <w:t xml:space="preserve"> (cfr. deliberazione della Sezione Autonomie n. 5/2006). </w:t>
      </w:r>
    </w:p>
    <w:p w14:paraId="458744C8" w14:textId="77777777" w:rsidR="00175975" w:rsidRDefault="0075134C" w:rsidP="00FB0A70">
      <w:pPr>
        <w:pStyle w:val="Corpo"/>
        <w:widowControl w:val="0"/>
        <w:spacing w:line="360" w:lineRule="auto"/>
        <w:ind w:left="567"/>
        <w:jc w:val="both"/>
        <w:rPr>
          <w:rFonts w:ascii="Verdana" w:hAnsi="Verdana" w:cs="Times New Roman"/>
          <w:iCs/>
          <w:sz w:val="20"/>
          <w:szCs w:val="20"/>
        </w:rPr>
      </w:pPr>
      <w:r>
        <w:rPr>
          <w:rFonts w:ascii="Verdana" w:hAnsi="Verdana" w:cs="Times New Roman"/>
          <w:iCs/>
          <w:sz w:val="20"/>
          <w:szCs w:val="20"/>
        </w:rPr>
        <w:t xml:space="preserve">         </w:t>
      </w:r>
      <w:r w:rsidR="00175975">
        <w:rPr>
          <w:rFonts w:ascii="Verdana" w:hAnsi="Verdana" w:cs="Times New Roman"/>
          <w:iCs/>
          <w:sz w:val="20"/>
          <w:szCs w:val="20"/>
        </w:rPr>
        <w:t>Rientrano, quindi, nel perimetro di tale materia “</w:t>
      </w:r>
      <w:r w:rsidR="00175975">
        <w:rPr>
          <w:rFonts w:ascii="Verdana" w:hAnsi="Verdana" w:cs="Times New Roman"/>
          <w:i/>
          <w:iCs/>
          <w:sz w:val="20"/>
          <w:szCs w:val="20"/>
        </w:rPr>
        <w:t>la normativa ed i relativi atti applicativi che disciplinano in generale l’attività finanziaria che precede o che segue i relativi interventi di settore, ricomprend</w:t>
      </w:r>
      <w:r w:rsidR="00712352">
        <w:rPr>
          <w:rFonts w:ascii="Verdana" w:hAnsi="Verdana" w:cs="Times New Roman"/>
          <w:i/>
          <w:iCs/>
          <w:sz w:val="20"/>
          <w:szCs w:val="20"/>
        </w:rPr>
        <w:t>end</w:t>
      </w:r>
      <w:r w:rsidR="00175975">
        <w:rPr>
          <w:rFonts w:ascii="Verdana" w:hAnsi="Verdana" w:cs="Times New Roman"/>
          <w:i/>
          <w:iCs/>
          <w:sz w:val="20"/>
          <w:szCs w:val="20"/>
        </w:rPr>
        <w:t>o in particolare la disciplina dei bilanci ed i relativi equilibri, l’acquisizione delle entrate, l’organizzazione finanziaria-contabile, la disciplina del patrimonio, la gestione delle spese, l’indebitamento, la rendicon</w:t>
      </w:r>
      <w:r w:rsidR="00911D36">
        <w:rPr>
          <w:rFonts w:ascii="Verdana" w:hAnsi="Verdana" w:cs="Times New Roman"/>
          <w:i/>
          <w:iCs/>
          <w:sz w:val="20"/>
          <w:szCs w:val="20"/>
        </w:rPr>
        <w:t>tazione ed i relativi controlli</w:t>
      </w:r>
      <w:r w:rsidR="00175975">
        <w:rPr>
          <w:rFonts w:ascii="Verdana" w:hAnsi="Verdana" w:cs="Times New Roman"/>
          <w:iCs/>
          <w:sz w:val="20"/>
          <w:szCs w:val="20"/>
        </w:rPr>
        <w:t>“</w:t>
      </w:r>
      <w:r w:rsidR="00911D36">
        <w:rPr>
          <w:rFonts w:ascii="Verdana" w:hAnsi="Verdana" w:cs="Times New Roman"/>
          <w:iCs/>
          <w:sz w:val="20"/>
          <w:szCs w:val="20"/>
        </w:rPr>
        <w:t xml:space="preserve"> </w:t>
      </w:r>
      <w:r w:rsidR="00175975">
        <w:rPr>
          <w:rFonts w:ascii="Verdana" w:hAnsi="Verdana" w:cs="Times New Roman"/>
          <w:iCs/>
          <w:sz w:val="20"/>
          <w:szCs w:val="20"/>
        </w:rPr>
        <w:t>(cfr. deliberazione della Sezione Autonomie n. 5/2006).</w:t>
      </w:r>
    </w:p>
    <w:p w14:paraId="7166921B" w14:textId="77777777" w:rsidR="00175975" w:rsidRDefault="0075134C" w:rsidP="00FB0A70">
      <w:pPr>
        <w:pStyle w:val="Corpo"/>
        <w:widowControl w:val="0"/>
        <w:spacing w:line="360" w:lineRule="auto"/>
        <w:ind w:left="567"/>
        <w:jc w:val="both"/>
        <w:rPr>
          <w:rFonts w:ascii="Verdana" w:hAnsi="Verdana" w:cs="Times New Roman"/>
          <w:iCs/>
          <w:sz w:val="20"/>
          <w:szCs w:val="20"/>
        </w:rPr>
      </w:pPr>
      <w:r>
        <w:rPr>
          <w:rFonts w:ascii="Verdana" w:hAnsi="Verdana" w:cs="Times New Roman"/>
          <w:iCs/>
          <w:sz w:val="20"/>
          <w:szCs w:val="20"/>
        </w:rPr>
        <w:t xml:space="preserve">         </w:t>
      </w:r>
      <w:r w:rsidR="00175975">
        <w:rPr>
          <w:rFonts w:ascii="Verdana" w:hAnsi="Verdana" w:cs="Times New Roman"/>
          <w:iCs/>
          <w:sz w:val="20"/>
          <w:szCs w:val="20"/>
        </w:rPr>
        <w:t>Peraltro, in una visione dinamica della materia che abbia per oggetto non solo la gestione del bilancio, ma anche la tutela dei suoi equilibri e della finanza pubblica in generale, la funzione consultiva delle Sezioni regionali della Corte dei conti può estendersi sino a ricomprendere tutti quei “</w:t>
      </w:r>
      <w:r w:rsidR="00175975">
        <w:rPr>
          <w:rFonts w:ascii="Verdana" w:hAnsi="Verdana" w:cs="Times New Roman"/>
          <w:i/>
          <w:iCs/>
          <w:sz w:val="20"/>
          <w:szCs w:val="20"/>
        </w:rPr>
        <w:t>quesiti che risultino connessi alle modalità di utilizzo delle risorse pubbliche, nel quadro di specifici obiettivi di contenimento della spesa sanciti dai principi di coordinamento della finanza pubblica contenuti nelle leggi finanziarie, in grado di ripercuotersi direttamente sulla sana gestione finanziaria dell’Ente e sui pertinenti equilibri di bilancio”</w:t>
      </w:r>
      <w:r w:rsidR="00175975">
        <w:rPr>
          <w:rFonts w:ascii="Verdana" w:hAnsi="Verdana" w:cs="Times New Roman"/>
          <w:iCs/>
          <w:sz w:val="20"/>
          <w:szCs w:val="20"/>
        </w:rPr>
        <w:t xml:space="preserve"> (cfr. deliberazione delle Sezioni Riunite in sede di controllo n.</w:t>
      </w:r>
      <w:r w:rsidR="00BF731C">
        <w:rPr>
          <w:rFonts w:ascii="Verdana" w:hAnsi="Verdana" w:cs="Times New Roman"/>
          <w:iCs/>
          <w:sz w:val="20"/>
          <w:szCs w:val="20"/>
        </w:rPr>
        <w:t xml:space="preserve"> </w:t>
      </w:r>
      <w:r w:rsidR="00175975">
        <w:rPr>
          <w:rFonts w:ascii="Verdana" w:hAnsi="Verdana" w:cs="Times New Roman"/>
          <w:iCs/>
          <w:sz w:val="20"/>
          <w:szCs w:val="20"/>
        </w:rPr>
        <w:t>54/2010), e ciò anche se tali materie risultino estranee nel loro nucleo originario alla “materia della contabilità pubblica”.</w:t>
      </w:r>
    </w:p>
    <w:p w14:paraId="070013C4" w14:textId="77777777" w:rsidR="00175975" w:rsidRDefault="0075134C" w:rsidP="00FB0A70">
      <w:pPr>
        <w:pStyle w:val="Corpo"/>
        <w:widowControl w:val="0"/>
        <w:spacing w:line="360" w:lineRule="auto"/>
        <w:ind w:left="567"/>
        <w:jc w:val="both"/>
        <w:rPr>
          <w:rFonts w:ascii="Verdana" w:hAnsi="Verdana" w:cs="Times New Roman"/>
          <w:iCs/>
          <w:sz w:val="20"/>
          <w:szCs w:val="20"/>
        </w:rPr>
      </w:pPr>
      <w:r>
        <w:rPr>
          <w:rFonts w:ascii="Verdana" w:hAnsi="Verdana" w:cs="Times New Roman"/>
          <w:sz w:val="20"/>
          <w:szCs w:val="20"/>
        </w:rPr>
        <w:t xml:space="preserve">        </w:t>
      </w:r>
      <w:r w:rsidR="00175975">
        <w:rPr>
          <w:rFonts w:ascii="Verdana" w:hAnsi="Verdana" w:cs="Times New Roman"/>
          <w:sz w:val="20"/>
          <w:szCs w:val="20"/>
        </w:rPr>
        <w:t xml:space="preserve">Alla luce di quanto sopra, pertanto, dovranno ritenersi inammissibili le richieste di parere concernenti valutazioni su casi o atti gestionali specifici, tali da determinare un’ingerenza della Corte dei conti nella concreta attività dell’Ente e, in ultima analisi, una compartecipazione all’amministrazione attiva, incompatibile con la posizione di terzietà e di indipendenza della Corte dei conti quale organo magistratuale. </w:t>
      </w:r>
    </w:p>
    <w:p w14:paraId="290306B8" w14:textId="77777777" w:rsidR="00175975" w:rsidRDefault="0075134C" w:rsidP="00FB0A70">
      <w:pPr>
        <w:pStyle w:val="Corpo"/>
        <w:widowControl w:val="0"/>
        <w:spacing w:line="360" w:lineRule="auto"/>
        <w:ind w:left="567"/>
        <w:jc w:val="both"/>
        <w:rPr>
          <w:rFonts w:ascii="Verdana" w:eastAsia="Calibri" w:hAnsi="Verdana" w:cs="Times New Roman"/>
          <w:sz w:val="20"/>
          <w:szCs w:val="20"/>
        </w:rPr>
      </w:pPr>
      <w:r>
        <w:rPr>
          <w:rFonts w:ascii="Verdana" w:hAnsi="Verdana" w:cs="Times New Roman"/>
          <w:iCs/>
          <w:sz w:val="20"/>
          <w:szCs w:val="20"/>
        </w:rPr>
        <w:lastRenderedPageBreak/>
        <w:t xml:space="preserve">         </w:t>
      </w:r>
      <w:r w:rsidR="00175975">
        <w:rPr>
          <w:rFonts w:ascii="Verdana" w:hAnsi="Verdana" w:cs="Times New Roman"/>
          <w:iCs/>
          <w:sz w:val="20"/>
          <w:szCs w:val="20"/>
        </w:rPr>
        <w:t xml:space="preserve">Del pari, </w:t>
      </w:r>
      <w:r w:rsidR="00175975">
        <w:rPr>
          <w:rFonts w:ascii="Verdana" w:hAnsi="Verdana" w:cs="Times New Roman"/>
          <w:sz w:val="20"/>
          <w:szCs w:val="20"/>
        </w:rPr>
        <w:t>non potranno ritenersi ammissibili richieste di parere per la cui soluzione “</w:t>
      </w:r>
      <w:r w:rsidR="00175975">
        <w:rPr>
          <w:rFonts w:ascii="Verdana" w:eastAsia="Calibri" w:hAnsi="Verdana" w:cs="Times New Roman"/>
          <w:i/>
          <w:sz w:val="20"/>
          <w:szCs w:val="20"/>
        </w:rPr>
        <w:t>non si rinvengono quei caratteri –</w:t>
      </w:r>
      <w:r w:rsidR="00971B1F">
        <w:rPr>
          <w:rFonts w:ascii="Verdana" w:eastAsia="Calibri" w:hAnsi="Verdana" w:cs="Times New Roman"/>
          <w:i/>
          <w:sz w:val="20"/>
          <w:szCs w:val="20"/>
        </w:rPr>
        <w:t xml:space="preserve"> </w:t>
      </w:r>
      <w:r w:rsidR="00175975">
        <w:rPr>
          <w:rFonts w:ascii="Verdana" w:eastAsia="Calibri" w:hAnsi="Verdana" w:cs="Times New Roman"/>
          <w:i/>
          <w:sz w:val="20"/>
          <w:szCs w:val="20"/>
        </w:rPr>
        <w:t>se non di esclusività</w:t>
      </w:r>
      <w:r w:rsidR="00971B1F">
        <w:rPr>
          <w:rFonts w:ascii="Verdana" w:eastAsia="Calibri" w:hAnsi="Verdana" w:cs="Times New Roman"/>
          <w:i/>
          <w:sz w:val="20"/>
          <w:szCs w:val="20"/>
        </w:rPr>
        <w:t xml:space="preserve"> </w:t>
      </w:r>
      <w:r w:rsidR="00175975">
        <w:rPr>
          <w:rFonts w:ascii="Verdana" w:eastAsia="Calibri" w:hAnsi="Verdana" w:cs="Times New Roman"/>
          <w:i/>
          <w:sz w:val="20"/>
          <w:szCs w:val="20"/>
        </w:rPr>
        <w:t>– di specializzazione funzionale che caratterizzano la Corte in questa sede, e che giustificano la peculiare attribuzione da parte del legislatore</w:t>
      </w:r>
      <w:r w:rsidR="00175975">
        <w:rPr>
          <w:rFonts w:ascii="Verdana" w:eastAsia="Calibri" w:hAnsi="Verdana" w:cs="Times New Roman"/>
          <w:sz w:val="20"/>
          <w:szCs w:val="20"/>
        </w:rPr>
        <w:t xml:space="preserve">” (cfr. Sezione Autonomie delibera n.3/2014), né istanze che, per come formulate, si sostanzino in una richiesta di </w:t>
      </w:r>
      <w:r w:rsidR="00175975">
        <w:rPr>
          <w:rFonts w:ascii="Verdana" w:hAnsi="Verdana" w:cs="Times New Roman"/>
          <w:iCs/>
          <w:sz w:val="20"/>
          <w:szCs w:val="20"/>
        </w:rPr>
        <w:t>consulenza generalizzata in merito a tutti i vari ambiti dell’azione amministrativa.</w:t>
      </w:r>
    </w:p>
    <w:p w14:paraId="74258361" w14:textId="77777777" w:rsidR="008C4A92" w:rsidRPr="00A74848" w:rsidRDefault="008C4A92" w:rsidP="00FB0A70">
      <w:pPr>
        <w:spacing w:line="360" w:lineRule="auto"/>
        <w:ind w:left="567" w:firstLine="720"/>
        <w:rPr>
          <w:rFonts w:eastAsia="Times New Roman"/>
          <w:szCs w:val="20"/>
        </w:rPr>
      </w:pPr>
      <w:r w:rsidRPr="00A74848">
        <w:rPr>
          <w:rFonts w:eastAsia="Times New Roman"/>
          <w:szCs w:val="20"/>
        </w:rPr>
        <w:t xml:space="preserve">Quindi, i quesiti, oltre a riguardare una questione di contabilità pubblica, devono avere carattere generale ed essere astratti, cioè non direttamente funzionali all’adozione di specifici atti di gestione, che afferiscono alla sfera discrezionale della potestà amministrativa dell’ente. </w:t>
      </w:r>
    </w:p>
    <w:p w14:paraId="5E2E0577" w14:textId="77777777" w:rsidR="00A61B2E" w:rsidRDefault="008C4A92" w:rsidP="00FB0A70">
      <w:pPr>
        <w:widowControl w:val="0"/>
        <w:autoSpaceDE w:val="0"/>
        <w:autoSpaceDN w:val="0"/>
        <w:adjustRightInd w:val="0"/>
        <w:spacing w:after="0" w:line="360" w:lineRule="auto"/>
        <w:ind w:left="567"/>
        <w:rPr>
          <w:szCs w:val="20"/>
        </w:rPr>
      </w:pPr>
      <w:r w:rsidRPr="00A74848">
        <w:rPr>
          <w:rFonts w:eastAsia="Times New Roman"/>
          <w:szCs w:val="20"/>
        </w:rPr>
        <w:t xml:space="preserve">In secondo luogo, oltre a non intervenire nell’attività amministrativa nei termini predetti, </w:t>
      </w:r>
      <w:r w:rsidR="00A61B2E">
        <w:rPr>
          <w:rFonts w:eastAsia="Calibri"/>
          <w:szCs w:val="20"/>
        </w:rPr>
        <w:t>l</w:t>
      </w:r>
      <w:r w:rsidR="00A61B2E" w:rsidRPr="00A61B2E">
        <w:rPr>
          <w:rFonts w:eastAsia="Calibri"/>
          <w:szCs w:val="20"/>
        </w:rPr>
        <w:t xml:space="preserve">’ausilio consultivo non può costituire un’interferenza con le funzioni requirenti e/o giurisdizionali ovvero di controllo di questa Corte ovvero di altri organi magistratuali e deve </w:t>
      </w:r>
      <w:r w:rsidR="00A61B2E" w:rsidRPr="00A61B2E">
        <w:rPr>
          <w:szCs w:val="20"/>
        </w:rPr>
        <w:t xml:space="preserve">essere preventivo rispetto all’esecuzione da parte dell’Ente di atti e/o attività connessi alla/e questione/i oggetto di richiesta di parere. Non è, quindi, ammissibile l’esercizio </w:t>
      </w:r>
      <w:r w:rsidR="00A61B2E" w:rsidRPr="00A61B2E">
        <w:rPr>
          <w:i/>
          <w:iCs/>
          <w:szCs w:val="20"/>
        </w:rPr>
        <w:t>ex post</w:t>
      </w:r>
      <w:r w:rsidR="00A61B2E" w:rsidRPr="00A61B2E">
        <w:rPr>
          <w:szCs w:val="20"/>
        </w:rPr>
        <w:t xml:space="preserve"> della funzione consultiva.</w:t>
      </w:r>
      <w:r w:rsidR="00F23DFB">
        <w:rPr>
          <w:szCs w:val="20"/>
        </w:rPr>
        <w:t xml:space="preserve"> Ne consegue che sono escluse le richieste di parere che comportino valutazioni nel merito di procedime</w:t>
      </w:r>
      <w:r w:rsidR="00A725EC">
        <w:rPr>
          <w:szCs w:val="20"/>
        </w:rPr>
        <w:t>nti amministrativi già adottati</w:t>
      </w:r>
      <w:r w:rsidR="00F23DFB">
        <w:rPr>
          <w:szCs w:val="20"/>
        </w:rPr>
        <w:t xml:space="preserve"> </w:t>
      </w:r>
      <w:r w:rsidR="00F23DFB" w:rsidRPr="00A725EC">
        <w:rPr>
          <w:szCs w:val="20"/>
        </w:rPr>
        <w:t xml:space="preserve">o nelle quali il parere può essere interpretato quale intervento atto a validare eventuali determinazioni </w:t>
      </w:r>
      <w:r w:rsidR="00F23DFB" w:rsidRPr="00A725EC">
        <w:rPr>
          <w:i/>
          <w:szCs w:val="20"/>
        </w:rPr>
        <w:t>in itinere</w:t>
      </w:r>
      <w:r w:rsidR="00F23DFB" w:rsidRPr="00A725EC">
        <w:rPr>
          <w:szCs w:val="20"/>
        </w:rPr>
        <w:t xml:space="preserve"> ovvero già assunte.</w:t>
      </w:r>
    </w:p>
    <w:p w14:paraId="26948F5B" w14:textId="77777777" w:rsidR="00530E71" w:rsidRDefault="00530E71" w:rsidP="00FB0A70">
      <w:pPr>
        <w:widowControl w:val="0"/>
        <w:autoSpaceDE w:val="0"/>
        <w:autoSpaceDN w:val="0"/>
        <w:adjustRightInd w:val="0"/>
        <w:spacing w:after="0" w:line="360" w:lineRule="auto"/>
        <w:ind w:left="567"/>
        <w:rPr>
          <w:szCs w:val="20"/>
        </w:rPr>
      </w:pPr>
    </w:p>
    <w:p w14:paraId="2C4C69D4" w14:textId="77777777" w:rsidR="00C02305" w:rsidRDefault="00C02305" w:rsidP="00FB0A70">
      <w:pPr>
        <w:widowControl w:val="0"/>
        <w:autoSpaceDE w:val="0"/>
        <w:autoSpaceDN w:val="0"/>
        <w:adjustRightInd w:val="0"/>
        <w:spacing w:after="0" w:line="360" w:lineRule="auto"/>
        <w:ind w:left="567"/>
        <w:rPr>
          <w:szCs w:val="20"/>
        </w:rPr>
      </w:pPr>
    </w:p>
    <w:p w14:paraId="7E625D41" w14:textId="7846C860" w:rsidR="009A13FE" w:rsidRDefault="00C02305" w:rsidP="00FB0A70">
      <w:pPr>
        <w:widowControl w:val="0"/>
        <w:autoSpaceDE w:val="0"/>
        <w:autoSpaceDN w:val="0"/>
        <w:adjustRightInd w:val="0"/>
        <w:spacing w:after="0" w:line="360" w:lineRule="auto"/>
        <w:ind w:left="567"/>
        <w:rPr>
          <w:szCs w:val="20"/>
        </w:rPr>
      </w:pPr>
      <w:r>
        <w:rPr>
          <w:b/>
          <w:szCs w:val="20"/>
        </w:rPr>
        <w:t xml:space="preserve">2.3 </w:t>
      </w:r>
      <w:r w:rsidR="009A13FE">
        <w:rPr>
          <w:szCs w:val="20"/>
        </w:rPr>
        <w:t>Il quesito posto all’esame della Sezione, attinente</w:t>
      </w:r>
      <w:r w:rsidR="00C42407">
        <w:rPr>
          <w:szCs w:val="20"/>
        </w:rPr>
        <w:t xml:space="preserve"> al</w:t>
      </w:r>
      <w:r w:rsidR="009A13FE">
        <w:rPr>
          <w:szCs w:val="20"/>
        </w:rPr>
        <w:t>l’espletamento dell’attività di collaborazione, da parte di personale esterno, con compiti di supporto agli organi di direzione politica dell’ente, richiama la disciplina delle assunzioni di personale, con ovvie ripercussioni sulla gestione del bilancio.</w:t>
      </w:r>
    </w:p>
    <w:p w14:paraId="7ED2C1F7" w14:textId="242E323A" w:rsidR="009A13FE" w:rsidRDefault="009A13FE" w:rsidP="00FB0A70">
      <w:pPr>
        <w:widowControl w:val="0"/>
        <w:autoSpaceDE w:val="0"/>
        <w:autoSpaceDN w:val="0"/>
        <w:adjustRightInd w:val="0"/>
        <w:spacing w:after="0" w:line="360" w:lineRule="auto"/>
        <w:ind w:left="567"/>
        <w:rPr>
          <w:i/>
          <w:szCs w:val="20"/>
        </w:rPr>
      </w:pPr>
      <w:r>
        <w:rPr>
          <w:szCs w:val="20"/>
        </w:rPr>
        <w:t xml:space="preserve">In materia di spese per il personale  </w:t>
      </w:r>
      <w:r w:rsidR="004F23E6">
        <w:rPr>
          <w:szCs w:val="20"/>
        </w:rPr>
        <w:t>la medesima Sezione</w:t>
      </w:r>
      <w:r>
        <w:rPr>
          <w:szCs w:val="20"/>
        </w:rPr>
        <w:t xml:space="preserve"> </w:t>
      </w:r>
      <w:r w:rsidR="00C42407">
        <w:rPr>
          <w:szCs w:val="20"/>
        </w:rPr>
        <w:t xml:space="preserve">delle </w:t>
      </w:r>
      <w:r>
        <w:rPr>
          <w:szCs w:val="20"/>
        </w:rPr>
        <w:t>A</w:t>
      </w:r>
      <w:r w:rsidR="004F23E6">
        <w:rPr>
          <w:szCs w:val="20"/>
        </w:rPr>
        <w:t>utonomie, in sede di coordinamento, ha sottolineato – sempre con la già citata deliberazione n.5/2006 – che “</w:t>
      </w:r>
      <w:r w:rsidR="004F23E6">
        <w:rPr>
          <w:i/>
          <w:szCs w:val="20"/>
        </w:rPr>
        <w:t>ancorché la materia della contabilità pubblica non possa ridursi alla sola tenuta delle scritture contabili ed alla normativa avente ad oggetto le modalità di acquisizione delle entrate e di erogazione delle spese, essa non potrebbe non investire qualsiasi attività degli enti che abbia comunque riflessi di natura finanziaria-patrimoniale e dunque, anche e particolarmente, in tema di spesa del personale la cui rilevante incidenza sugli equilibri finanziari dei bilanci comunali ha indotto il legislatore a dettare norme specificamente finalizzate al suo contenimento”.</w:t>
      </w:r>
    </w:p>
    <w:p w14:paraId="729D0E94" w14:textId="7D6B6FA1" w:rsidR="003B14DF" w:rsidRDefault="004F23E6" w:rsidP="007D0281">
      <w:pPr>
        <w:widowControl w:val="0"/>
        <w:autoSpaceDE w:val="0"/>
        <w:autoSpaceDN w:val="0"/>
        <w:adjustRightInd w:val="0"/>
        <w:spacing w:after="0" w:line="360" w:lineRule="auto"/>
        <w:ind w:left="567"/>
        <w:rPr>
          <w:szCs w:val="20"/>
        </w:rPr>
      </w:pPr>
      <w:r w:rsidRPr="007A57E0">
        <w:rPr>
          <w:szCs w:val="20"/>
        </w:rPr>
        <w:t>La quest</w:t>
      </w:r>
      <w:r w:rsidR="007A57E0" w:rsidRPr="007A57E0">
        <w:rPr>
          <w:szCs w:val="20"/>
        </w:rPr>
        <w:t>ione della spesa per il personale</w:t>
      </w:r>
      <w:r w:rsidR="007A57E0">
        <w:rPr>
          <w:szCs w:val="20"/>
        </w:rPr>
        <w:t xml:space="preserve"> viene pacificamente inquadrata nell’ambito della salvaguardia degli obiettivi di finanza pubblica, a garanzia degli obblighi derivanti dall’appartenenza all’Union</w:t>
      </w:r>
      <w:r w:rsidR="00C42407">
        <w:rPr>
          <w:szCs w:val="20"/>
        </w:rPr>
        <w:t>e europea, attesi anche i vincoli</w:t>
      </w:r>
      <w:r w:rsidR="007A57E0">
        <w:rPr>
          <w:szCs w:val="20"/>
        </w:rPr>
        <w:t xml:space="preserve"> posti dalla legge alle assunzioni di</w:t>
      </w:r>
      <w:r w:rsidR="00C42407">
        <w:rPr>
          <w:szCs w:val="20"/>
        </w:rPr>
        <w:t xml:space="preserve"> personale nei confronti degli E</w:t>
      </w:r>
      <w:r w:rsidR="005940AF">
        <w:rPr>
          <w:szCs w:val="20"/>
        </w:rPr>
        <w:t>nti L</w:t>
      </w:r>
      <w:r w:rsidR="007A57E0">
        <w:rPr>
          <w:szCs w:val="20"/>
        </w:rPr>
        <w:t xml:space="preserve">ocali. </w:t>
      </w:r>
    </w:p>
    <w:p w14:paraId="72B0DB0D" w14:textId="2355DCBF" w:rsidR="00415D88" w:rsidRDefault="00415D88" w:rsidP="007D0281">
      <w:pPr>
        <w:widowControl w:val="0"/>
        <w:autoSpaceDE w:val="0"/>
        <w:autoSpaceDN w:val="0"/>
        <w:adjustRightInd w:val="0"/>
        <w:spacing w:after="0" w:line="360" w:lineRule="auto"/>
        <w:ind w:left="567"/>
        <w:rPr>
          <w:szCs w:val="20"/>
        </w:rPr>
      </w:pPr>
      <w:r>
        <w:rPr>
          <w:szCs w:val="20"/>
        </w:rPr>
        <w:t>Inoltre</w:t>
      </w:r>
      <w:r w:rsidR="00C42407">
        <w:rPr>
          <w:szCs w:val="20"/>
        </w:rPr>
        <w:t>,</w:t>
      </w:r>
      <w:r>
        <w:rPr>
          <w:szCs w:val="20"/>
        </w:rPr>
        <w:t xml:space="preserve"> la disposizione in esame (art. 5, comma 9</w:t>
      </w:r>
      <w:r w:rsidR="005940AF">
        <w:rPr>
          <w:szCs w:val="20"/>
        </w:rPr>
        <w:t>,</w:t>
      </w:r>
      <w:r>
        <w:rPr>
          <w:szCs w:val="20"/>
        </w:rPr>
        <w:t xml:space="preserve"> del D. L. n. 95/2012 e successive </w:t>
      </w:r>
      <w:r>
        <w:rPr>
          <w:szCs w:val="20"/>
        </w:rPr>
        <w:lastRenderedPageBreak/>
        <w:t xml:space="preserve">modifiche e integrazioni) </w:t>
      </w:r>
      <w:r w:rsidR="00E93FC7">
        <w:rPr>
          <w:szCs w:val="20"/>
        </w:rPr>
        <w:t>è dettata dalla normativa in materia di revisione della spesa pubblica e, in particolare, di</w:t>
      </w:r>
      <w:r w:rsidR="00C42407">
        <w:rPr>
          <w:szCs w:val="20"/>
        </w:rPr>
        <w:t>sciplinante l’obiettivo</w:t>
      </w:r>
      <w:r w:rsidR="00E93FC7">
        <w:rPr>
          <w:szCs w:val="20"/>
        </w:rPr>
        <w:t xml:space="preserve"> contenimento dei costi</w:t>
      </w:r>
      <w:r w:rsidR="00C42407">
        <w:rPr>
          <w:szCs w:val="20"/>
        </w:rPr>
        <w:t xml:space="preserve"> della pubblica amministrazione nei suoi più diversi aspetti.</w:t>
      </w:r>
    </w:p>
    <w:p w14:paraId="0E454984" w14:textId="6AB8586D" w:rsidR="00CE7801" w:rsidRDefault="00CE7801" w:rsidP="007A57E0">
      <w:pPr>
        <w:widowControl w:val="0"/>
        <w:autoSpaceDE w:val="0"/>
        <w:autoSpaceDN w:val="0"/>
        <w:adjustRightInd w:val="0"/>
        <w:spacing w:after="0" w:line="360" w:lineRule="auto"/>
        <w:ind w:left="567"/>
        <w:rPr>
          <w:szCs w:val="20"/>
        </w:rPr>
      </w:pPr>
      <w:r>
        <w:rPr>
          <w:szCs w:val="20"/>
        </w:rPr>
        <w:t>Alla luce delle considerazioni esposte</w:t>
      </w:r>
      <w:r w:rsidR="00712352">
        <w:rPr>
          <w:szCs w:val="20"/>
        </w:rPr>
        <w:t>,</w:t>
      </w:r>
      <w:r>
        <w:rPr>
          <w:szCs w:val="20"/>
        </w:rPr>
        <w:t xml:space="preserve"> la Sezione ritiene </w:t>
      </w:r>
      <w:r w:rsidR="00DF328C">
        <w:rPr>
          <w:szCs w:val="20"/>
        </w:rPr>
        <w:t xml:space="preserve">che </w:t>
      </w:r>
      <w:r>
        <w:rPr>
          <w:szCs w:val="20"/>
        </w:rPr>
        <w:t>la richiesta di parere formulata dal Sindaco d</w:t>
      </w:r>
      <w:r w:rsidR="007A57E0">
        <w:rPr>
          <w:szCs w:val="20"/>
        </w:rPr>
        <w:t>i Barile si può ritenere ammissibile anche sotto il profilo oggettivo</w:t>
      </w:r>
      <w:r w:rsidR="00324C4E">
        <w:rPr>
          <w:szCs w:val="20"/>
        </w:rPr>
        <w:t xml:space="preserve"> </w:t>
      </w:r>
      <w:r w:rsidR="00324C4E" w:rsidRPr="00770EAD">
        <w:rPr>
          <w:szCs w:val="20"/>
        </w:rPr>
        <w:t>limita</w:t>
      </w:r>
      <w:r w:rsidR="006E57B4" w:rsidRPr="00770EAD">
        <w:rPr>
          <w:szCs w:val="20"/>
        </w:rPr>
        <w:t xml:space="preserve">tamente ai profili, di ordine generale e astratto, inerenti </w:t>
      </w:r>
      <w:r w:rsidR="00C23EDB">
        <w:rPr>
          <w:szCs w:val="20"/>
        </w:rPr>
        <w:t>al</w:t>
      </w:r>
      <w:r w:rsidR="006E57B4" w:rsidRPr="00770EAD">
        <w:rPr>
          <w:szCs w:val="20"/>
        </w:rPr>
        <w:t>l’interpret</w:t>
      </w:r>
      <w:r w:rsidR="00C42407">
        <w:rPr>
          <w:szCs w:val="20"/>
        </w:rPr>
        <w:t xml:space="preserve">azione della normativa in tema </w:t>
      </w:r>
      <w:r w:rsidR="006E57B4" w:rsidRPr="00770EAD">
        <w:rPr>
          <w:szCs w:val="20"/>
        </w:rPr>
        <w:t xml:space="preserve">di </w:t>
      </w:r>
      <w:proofErr w:type="spellStart"/>
      <w:r w:rsidR="006E57B4" w:rsidRPr="00770EAD">
        <w:rPr>
          <w:szCs w:val="20"/>
        </w:rPr>
        <w:t>conferibilità</w:t>
      </w:r>
      <w:proofErr w:type="spellEnd"/>
      <w:r w:rsidR="006E57B4" w:rsidRPr="00770EAD">
        <w:rPr>
          <w:szCs w:val="20"/>
        </w:rPr>
        <w:t xml:space="preserve"> di </w:t>
      </w:r>
      <w:r w:rsidR="005940AF">
        <w:rPr>
          <w:szCs w:val="20"/>
        </w:rPr>
        <w:t>“</w:t>
      </w:r>
      <w:r w:rsidR="006E57B4" w:rsidRPr="00770EAD">
        <w:rPr>
          <w:szCs w:val="20"/>
        </w:rPr>
        <w:t xml:space="preserve">incarichi </w:t>
      </w:r>
      <w:r w:rsidR="00C42407">
        <w:rPr>
          <w:szCs w:val="20"/>
        </w:rPr>
        <w:t>di staff</w:t>
      </w:r>
      <w:r w:rsidR="005940AF">
        <w:rPr>
          <w:szCs w:val="20"/>
        </w:rPr>
        <w:t>”</w:t>
      </w:r>
      <w:r w:rsidR="00C42407">
        <w:rPr>
          <w:szCs w:val="20"/>
        </w:rPr>
        <w:t xml:space="preserve"> negli E</w:t>
      </w:r>
      <w:r w:rsidR="007A57E0" w:rsidRPr="00770EAD">
        <w:rPr>
          <w:szCs w:val="20"/>
        </w:rPr>
        <w:t>nti locali</w:t>
      </w:r>
      <w:r w:rsidR="007A57E0">
        <w:rPr>
          <w:szCs w:val="20"/>
        </w:rPr>
        <w:t>.</w:t>
      </w:r>
    </w:p>
    <w:p w14:paraId="1BCA7E60" w14:textId="67549341" w:rsidR="00B30D33" w:rsidRDefault="00B30D33" w:rsidP="00647D01">
      <w:pPr>
        <w:suppressAutoHyphens/>
        <w:spacing w:line="360" w:lineRule="auto"/>
        <w:ind w:firstLine="0"/>
        <w:textAlignment w:val="baseline"/>
        <w:rPr>
          <w:rFonts w:eastAsia="Times New Roman"/>
          <w:szCs w:val="20"/>
        </w:rPr>
      </w:pPr>
    </w:p>
    <w:p w14:paraId="32A211DC" w14:textId="77777777" w:rsidR="00B23748" w:rsidRDefault="00B23748" w:rsidP="00647D01">
      <w:pPr>
        <w:suppressAutoHyphens/>
        <w:spacing w:line="360" w:lineRule="auto"/>
        <w:ind w:firstLine="0"/>
        <w:textAlignment w:val="baseline"/>
        <w:rPr>
          <w:rFonts w:eastAsia="Times New Roman"/>
          <w:szCs w:val="20"/>
        </w:rPr>
      </w:pPr>
    </w:p>
    <w:p w14:paraId="425EE857" w14:textId="2D3AC573" w:rsidR="007D0281" w:rsidRDefault="00B30D33" w:rsidP="007D0281">
      <w:pPr>
        <w:suppressAutoHyphens/>
        <w:spacing w:after="0" w:line="360" w:lineRule="auto"/>
        <w:ind w:left="567" w:firstLine="708"/>
        <w:textAlignment w:val="baseline"/>
        <w:rPr>
          <w:rFonts w:eastAsia="Times New Roman"/>
          <w:spacing w:val="2"/>
          <w:kern w:val="1"/>
          <w:szCs w:val="20"/>
          <w:lang w:eastAsia="ar-SA"/>
        </w:rPr>
      </w:pPr>
      <w:r>
        <w:rPr>
          <w:rFonts w:eastAsia="Times New Roman"/>
          <w:b/>
          <w:spacing w:val="2"/>
          <w:kern w:val="1"/>
          <w:szCs w:val="20"/>
          <w:lang w:eastAsia="ar-SA"/>
        </w:rPr>
        <w:t xml:space="preserve">3. </w:t>
      </w:r>
      <w:r w:rsidR="0073439E" w:rsidRPr="00B23748">
        <w:rPr>
          <w:rFonts w:eastAsia="Times New Roman"/>
          <w:spacing w:val="2"/>
          <w:kern w:val="1"/>
          <w:szCs w:val="20"/>
          <w:lang w:eastAsia="ar-SA"/>
        </w:rPr>
        <w:t>In via preliminare</w:t>
      </w:r>
      <w:r w:rsidR="0073439E">
        <w:rPr>
          <w:rFonts w:eastAsia="Times New Roman"/>
          <w:b/>
          <w:spacing w:val="2"/>
          <w:kern w:val="1"/>
          <w:szCs w:val="20"/>
          <w:lang w:eastAsia="ar-SA"/>
        </w:rPr>
        <w:t xml:space="preserve"> </w:t>
      </w:r>
      <w:r w:rsidR="00B23748">
        <w:rPr>
          <w:rFonts w:eastAsia="Times New Roman"/>
          <w:spacing w:val="2"/>
          <w:kern w:val="1"/>
          <w:szCs w:val="20"/>
          <w:lang w:eastAsia="ar-SA"/>
        </w:rPr>
        <w:t>occorre precisare che la funzione consultiva della Corte dei conti non è diretta ad individuare la soluzione concreta di specifici problemi degli enti locali, ma a fornire indicazioni generali sull’interpretazione della disciplina applicabile</w:t>
      </w:r>
      <w:r w:rsidR="00A0741F">
        <w:rPr>
          <w:rFonts w:eastAsia="Times New Roman"/>
          <w:spacing w:val="2"/>
          <w:kern w:val="1"/>
          <w:szCs w:val="20"/>
          <w:lang w:eastAsia="ar-SA"/>
        </w:rPr>
        <w:t>, costituendo</w:t>
      </w:r>
      <w:r w:rsidR="00B23748">
        <w:rPr>
          <w:rFonts w:eastAsia="Times New Roman"/>
          <w:spacing w:val="2"/>
          <w:kern w:val="1"/>
          <w:szCs w:val="20"/>
          <w:lang w:eastAsia="ar-SA"/>
        </w:rPr>
        <w:t xml:space="preserve"> un ausil</w:t>
      </w:r>
      <w:r w:rsidR="007053A8">
        <w:rPr>
          <w:rFonts w:eastAsia="Times New Roman"/>
          <w:spacing w:val="2"/>
          <w:kern w:val="1"/>
          <w:szCs w:val="20"/>
          <w:lang w:eastAsia="ar-SA"/>
        </w:rPr>
        <w:t>i</w:t>
      </w:r>
      <w:r w:rsidR="00B23748">
        <w:rPr>
          <w:rFonts w:eastAsia="Times New Roman"/>
          <w:spacing w:val="2"/>
          <w:kern w:val="1"/>
          <w:szCs w:val="20"/>
          <w:lang w:eastAsia="ar-SA"/>
        </w:rPr>
        <w:t xml:space="preserve">o all’Ente richiedente </w:t>
      </w:r>
      <w:r w:rsidR="00975856">
        <w:rPr>
          <w:rFonts w:eastAsia="Times New Roman"/>
          <w:spacing w:val="2"/>
          <w:kern w:val="1"/>
          <w:szCs w:val="20"/>
          <w:lang w:eastAsia="ar-SA"/>
        </w:rPr>
        <w:t xml:space="preserve">per le determinazioni che lo stesso </w:t>
      </w:r>
      <w:r w:rsidR="00382CCF">
        <w:rPr>
          <w:rFonts w:eastAsia="Times New Roman"/>
          <w:spacing w:val="2"/>
          <w:kern w:val="1"/>
          <w:szCs w:val="20"/>
          <w:lang w:eastAsia="ar-SA"/>
        </w:rPr>
        <w:t>è tenuto ad assumere</w:t>
      </w:r>
      <w:r w:rsidR="00C42407">
        <w:rPr>
          <w:rFonts w:eastAsia="Times New Roman"/>
          <w:spacing w:val="2"/>
          <w:kern w:val="1"/>
          <w:szCs w:val="20"/>
          <w:lang w:eastAsia="ar-SA"/>
        </w:rPr>
        <w:t>, in piena autonomia,</w:t>
      </w:r>
      <w:r w:rsidR="00382CCF">
        <w:rPr>
          <w:rFonts w:eastAsia="Times New Roman"/>
          <w:spacing w:val="2"/>
          <w:kern w:val="1"/>
          <w:szCs w:val="20"/>
          <w:lang w:eastAsia="ar-SA"/>
        </w:rPr>
        <w:t xml:space="preserve"> nell’esercizio delle proprie funzioni.</w:t>
      </w:r>
    </w:p>
    <w:p w14:paraId="3B5BEB2D" w14:textId="3BE8DFCC" w:rsidR="00382CCF" w:rsidRDefault="00BD751A" w:rsidP="00185554">
      <w:pPr>
        <w:suppressAutoHyphens/>
        <w:spacing w:after="0" w:line="360" w:lineRule="auto"/>
        <w:ind w:left="567" w:firstLine="708"/>
        <w:textAlignment w:val="baseline"/>
        <w:rPr>
          <w:rFonts w:eastAsia="Times New Roman"/>
          <w:spacing w:val="2"/>
          <w:kern w:val="1"/>
          <w:szCs w:val="20"/>
          <w:lang w:eastAsia="ar-SA"/>
        </w:rPr>
      </w:pPr>
      <w:r w:rsidRPr="00770EAD">
        <w:rPr>
          <w:rFonts w:eastAsia="Times New Roman"/>
          <w:spacing w:val="2"/>
          <w:kern w:val="1"/>
          <w:szCs w:val="20"/>
          <w:lang w:eastAsia="ar-SA"/>
        </w:rPr>
        <w:t>L</w:t>
      </w:r>
      <w:r w:rsidR="00382CCF" w:rsidRPr="00770EAD">
        <w:rPr>
          <w:rFonts w:eastAsia="Times New Roman"/>
          <w:spacing w:val="2"/>
          <w:kern w:val="1"/>
          <w:szCs w:val="20"/>
          <w:lang w:eastAsia="ar-SA"/>
        </w:rPr>
        <w:t>a scelta concreta</w:t>
      </w:r>
      <w:r w:rsidR="00382CCF">
        <w:rPr>
          <w:rFonts w:eastAsia="Times New Roman"/>
          <w:spacing w:val="2"/>
          <w:kern w:val="1"/>
          <w:szCs w:val="20"/>
          <w:lang w:eastAsia="ar-SA"/>
        </w:rPr>
        <w:t xml:space="preserve"> circa le modalità di sopperire al fabbisogno di personale rientra nella discrezionalità di gestione dell’Ente, trattandosi di opzione organizzativa, da esercitarsi entro i limiti di legge, rimessa alla potestà amministrativa riservata dalla legge alla Pubblica Amministrazione.</w:t>
      </w:r>
    </w:p>
    <w:p w14:paraId="3EDBF76C" w14:textId="5479FCE6" w:rsidR="00185554" w:rsidRDefault="00185554" w:rsidP="00185554">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Tanto premesso</w:t>
      </w:r>
      <w:r w:rsidR="00C23EDB">
        <w:rPr>
          <w:rFonts w:eastAsia="Times New Roman"/>
          <w:spacing w:val="2"/>
          <w:kern w:val="1"/>
          <w:szCs w:val="20"/>
          <w:lang w:eastAsia="ar-SA"/>
        </w:rPr>
        <w:t>,</w:t>
      </w:r>
      <w:r>
        <w:rPr>
          <w:rFonts w:eastAsia="Times New Roman"/>
          <w:spacing w:val="2"/>
          <w:kern w:val="1"/>
          <w:szCs w:val="20"/>
          <w:lang w:eastAsia="ar-SA"/>
        </w:rPr>
        <w:t xml:space="preserve"> la richiesta di parere espone l’intenzione dell’Amministrazione comunale di assumere </w:t>
      </w:r>
      <w:r w:rsidR="00E9486B">
        <w:rPr>
          <w:rFonts w:eastAsia="Times New Roman"/>
          <w:spacing w:val="2"/>
          <w:kern w:val="1"/>
          <w:szCs w:val="20"/>
          <w:lang w:eastAsia="ar-SA"/>
        </w:rPr>
        <w:t xml:space="preserve">presso l’Ente personale da destinare alla costituzione di uffici </w:t>
      </w:r>
      <w:r w:rsidR="00836F60">
        <w:rPr>
          <w:rFonts w:eastAsia="Times New Roman"/>
          <w:spacing w:val="2"/>
          <w:kern w:val="1"/>
          <w:szCs w:val="20"/>
          <w:lang w:eastAsia="ar-SA"/>
        </w:rPr>
        <w:t>previsti dall’art. 90 TUEL, specificando che si tratta di personale in quiescenza, che lo stesso verrebbe a</w:t>
      </w:r>
      <w:r w:rsidR="00C23EDB">
        <w:rPr>
          <w:rFonts w:eastAsia="Times New Roman"/>
          <w:spacing w:val="2"/>
          <w:kern w:val="1"/>
          <w:szCs w:val="20"/>
          <w:lang w:eastAsia="ar-SA"/>
        </w:rPr>
        <w:t>ssunto con contratto</w:t>
      </w:r>
      <w:r w:rsidR="00836F60">
        <w:rPr>
          <w:rFonts w:eastAsia="Times New Roman"/>
          <w:spacing w:val="2"/>
          <w:kern w:val="1"/>
          <w:szCs w:val="20"/>
          <w:lang w:eastAsia="ar-SA"/>
        </w:rPr>
        <w:t xml:space="preserve"> a tempo determinato con inquadramento nella categoria C del vigente CCNL di comparto il quale non implica</w:t>
      </w:r>
      <w:r w:rsidR="00C23EDB">
        <w:rPr>
          <w:rFonts w:eastAsia="Times New Roman"/>
          <w:spacing w:val="2"/>
          <w:kern w:val="1"/>
          <w:szCs w:val="20"/>
          <w:lang w:eastAsia="ar-SA"/>
        </w:rPr>
        <w:t xml:space="preserve"> lo svolgimento di</w:t>
      </w:r>
      <w:r w:rsidR="00836F60">
        <w:rPr>
          <w:rFonts w:eastAsia="Times New Roman"/>
          <w:spacing w:val="2"/>
          <w:kern w:val="1"/>
          <w:szCs w:val="20"/>
          <w:lang w:eastAsia="ar-SA"/>
        </w:rPr>
        <w:t xml:space="preserve"> un ruolo direttivo.</w:t>
      </w:r>
    </w:p>
    <w:p w14:paraId="0BFE1131" w14:textId="50323A3A" w:rsidR="00185554" w:rsidRDefault="00185554" w:rsidP="007D0281">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 xml:space="preserve">Quanto al merito del quesito </w:t>
      </w:r>
      <w:r w:rsidR="00580DEF">
        <w:rPr>
          <w:rFonts w:eastAsia="Times New Roman"/>
          <w:spacing w:val="2"/>
          <w:kern w:val="1"/>
          <w:szCs w:val="20"/>
          <w:lang w:eastAsia="ar-SA"/>
        </w:rPr>
        <w:t xml:space="preserve">occorre rilevare che il tema del conferimento di incarico ai sensi dell’art. 90 TUEL, nei termini in cui è stato prospettato con la richiesta di parere all’esame del Collegio, si intreccia con quello della corretta applicazione </w:t>
      </w:r>
      <w:r w:rsidR="00C23EDB">
        <w:rPr>
          <w:rFonts w:eastAsia="Times New Roman"/>
          <w:spacing w:val="2"/>
          <w:kern w:val="1"/>
          <w:szCs w:val="20"/>
          <w:lang w:eastAsia="ar-SA"/>
        </w:rPr>
        <w:t xml:space="preserve">dell’art. 5, comma 9, </w:t>
      </w:r>
      <w:r w:rsidR="003F766D">
        <w:rPr>
          <w:rFonts w:eastAsia="Times New Roman"/>
          <w:spacing w:val="2"/>
          <w:kern w:val="1"/>
          <w:szCs w:val="20"/>
          <w:lang w:eastAsia="ar-SA"/>
        </w:rPr>
        <w:t>del D.L. n.95/2012 convertito, con modificazioni, dalla L. n.135/2012, come modificato dall’art. 6, comma 1</w:t>
      </w:r>
      <w:r w:rsidR="00C23EDB">
        <w:rPr>
          <w:rFonts w:eastAsia="Times New Roman"/>
          <w:spacing w:val="2"/>
          <w:kern w:val="1"/>
          <w:szCs w:val="20"/>
          <w:lang w:eastAsia="ar-SA"/>
        </w:rPr>
        <w:t>,</w:t>
      </w:r>
      <w:r w:rsidR="003F766D">
        <w:rPr>
          <w:rFonts w:eastAsia="Times New Roman"/>
          <w:spacing w:val="2"/>
          <w:kern w:val="1"/>
          <w:szCs w:val="20"/>
          <w:lang w:eastAsia="ar-SA"/>
        </w:rPr>
        <w:t xml:space="preserve"> del D. L. n.90/2014, convertito, con modificazioni, dalla L. n. 114/2014</w:t>
      </w:r>
      <w:r w:rsidR="00C23EDB">
        <w:rPr>
          <w:rFonts w:eastAsia="Times New Roman"/>
          <w:spacing w:val="2"/>
          <w:kern w:val="1"/>
          <w:szCs w:val="20"/>
          <w:lang w:eastAsia="ar-SA"/>
        </w:rPr>
        <w:t>,</w:t>
      </w:r>
      <w:r w:rsidR="003F766D">
        <w:rPr>
          <w:rFonts w:eastAsia="Times New Roman"/>
          <w:spacing w:val="2"/>
          <w:kern w:val="1"/>
          <w:szCs w:val="20"/>
          <w:lang w:eastAsia="ar-SA"/>
        </w:rPr>
        <w:t xml:space="preserve"> e successivamente modificato dall’art. 17, comma 3, della L. n.124/2015. </w:t>
      </w:r>
    </w:p>
    <w:p w14:paraId="1BE5521D" w14:textId="77777777" w:rsidR="00197F69" w:rsidRDefault="00197F69" w:rsidP="007D0281">
      <w:pPr>
        <w:suppressAutoHyphens/>
        <w:spacing w:after="0" w:line="360" w:lineRule="auto"/>
        <w:ind w:left="567" w:firstLine="708"/>
        <w:textAlignment w:val="baseline"/>
        <w:rPr>
          <w:rFonts w:eastAsia="Times New Roman"/>
          <w:spacing w:val="2"/>
          <w:kern w:val="1"/>
          <w:szCs w:val="20"/>
          <w:lang w:eastAsia="ar-SA"/>
        </w:rPr>
      </w:pPr>
    </w:p>
    <w:p w14:paraId="2A2B6DD9" w14:textId="059EA03E" w:rsidR="00F03330" w:rsidRDefault="00197F69" w:rsidP="007D0281">
      <w:pPr>
        <w:suppressAutoHyphens/>
        <w:spacing w:after="0" w:line="360" w:lineRule="auto"/>
        <w:ind w:left="567" w:firstLine="708"/>
        <w:textAlignment w:val="baseline"/>
        <w:rPr>
          <w:rFonts w:eastAsia="Times New Roman"/>
          <w:spacing w:val="2"/>
          <w:kern w:val="1"/>
          <w:szCs w:val="20"/>
          <w:lang w:eastAsia="ar-SA"/>
        </w:rPr>
      </w:pPr>
      <w:r w:rsidRPr="00197F69">
        <w:rPr>
          <w:rFonts w:eastAsia="Times New Roman"/>
          <w:b/>
          <w:spacing w:val="2"/>
          <w:kern w:val="1"/>
          <w:szCs w:val="20"/>
          <w:lang w:eastAsia="ar-SA"/>
        </w:rPr>
        <w:t>3.1</w:t>
      </w:r>
      <w:r>
        <w:rPr>
          <w:rFonts w:eastAsia="Times New Roman"/>
          <w:b/>
          <w:spacing w:val="2"/>
          <w:kern w:val="1"/>
          <w:szCs w:val="20"/>
          <w:lang w:eastAsia="ar-SA"/>
        </w:rPr>
        <w:t xml:space="preserve"> </w:t>
      </w:r>
      <w:r w:rsidR="00F03330">
        <w:rPr>
          <w:rFonts w:eastAsia="Times New Roman"/>
          <w:spacing w:val="2"/>
          <w:kern w:val="1"/>
          <w:szCs w:val="20"/>
          <w:lang w:eastAsia="ar-SA"/>
        </w:rPr>
        <w:t>L’art. 90 TUEL, sotto la rubrica “uffici di supporto agli organi di direzione politica” stabilisce che “</w:t>
      </w:r>
      <w:r w:rsidR="00F03330">
        <w:rPr>
          <w:rFonts w:eastAsia="Times New Roman"/>
          <w:i/>
          <w:spacing w:val="2"/>
          <w:kern w:val="1"/>
          <w:szCs w:val="20"/>
          <w:lang w:eastAsia="ar-SA"/>
        </w:rPr>
        <w:t>1. Il regolamento sull’’ordinamento degli uffici e dei servizi può prevedere la costituzione di uffici posti alle dirette dipendenze del sindaco, del presidente della provincia, della giunta e degli assessori, per l’esercizio delle funzioni di indirizzo e controllo loro attribuite dalla legge</w:t>
      </w:r>
      <w:r w:rsidR="000F5A1F">
        <w:rPr>
          <w:rFonts w:eastAsia="Times New Roman"/>
          <w:i/>
          <w:spacing w:val="2"/>
          <w:kern w:val="1"/>
          <w:szCs w:val="20"/>
          <w:lang w:eastAsia="ar-SA"/>
        </w:rPr>
        <w:t xml:space="preserve">, costituiti da dipendenti dell’ente, ovvero, salvo che per gli enti dissestati o strutturalmente deficitari, da collaboratori assunti con contratto a tempo determinato, i quali se dipendenti da una pubblica amministrazione, sono collocati in aspettativa senza assegni. 2. Al personale assunto con contratto di lavoro </w:t>
      </w:r>
      <w:r w:rsidR="000F5A1F">
        <w:rPr>
          <w:rFonts w:eastAsia="Times New Roman"/>
          <w:i/>
          <w:spacing w:val="2"/>
          <w:kern w:val="1"/>
          <w:szCs w:val="20"/>
          <w:lang w:eastAsia="ar-SA"/>
        </w:rPr>
        <w:lastRenderedPageBreak/>
        <w:t xml:space="preserve">subordinato a tempo determinato si applica il contratto collettivo nazionale di lavoro del personale degli enti locali. 3. Con provvedimento motivato della giunta, al personale di cui al comma 2 il trattamento economico accessorio previsto dai contratti collettivi può essere sostituito da un unico emolumento comprensivo dei compensi per il lavoro straordinario, per la produttività collettiva e per la qualità della prestazione individuale. 3-bis Resta ferma il divieto di effettuazione </w:t>
      </w:r>
      <w:r w:rsidR="00951344">
        <w:rPr>
          <w:rFonts w:eastAsia="Times New Roman"/>
          <w:i/>
          <w:spacing w:val="2"/>
          <w:kern w:val="1"/>
          <w:szCs w:val="20"/>
          <w:lang w:eastAsia="ar-SA"/>
        </w:rPr>
        <w:t>di attività gestionale anche nel caso in cui nel contratto individuale di lavoro il trattamento economico, prescindendo dal titolo di studio, è parametrato a quello dirigenziale.”.</w:t>
      </w:r>
    </w:p>
    <w:p w14:paraId="557A92CE" w14:textId="367E61B1" w:rsidR="0013767E" w:rsidRPr="0013767E" w:rsidRDefault="0013767E" w:rsidP="007D0281">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 xml:space="preserve">Si tratta di uffici c.d. </w:t>
      </w:r>
      <w:r w:rsidR="00C23EDB">
        <w:rPr>
          <w:rFonts w:eastAsia="Times New Roman"/>
          <w:spacing w:val="2"/>
          <w:kern w:val="1"/>
          <w:szCs w:val="20"/>
          <w:lang w:eastAsia="ar-SA"/>
        </w:rPr>
        <w:t>“</w:t>
      </w:r>
      <w:r>
        <w:rPr>
          <w:rFonts w:eastAsia="Times New Roman"/>
          <w:spacing w:val="2"/>
          <w:kern w:val="1"/>
          <w:szCs w:val="20"/>
          <w:lang w:eastAsia="ar-SA"/>
        </w:rPr>
        <w:t>di staff</w:t>
      </w:r>
      <w:r w:rsidR="00C23EDB">
        <w:rPr>
          <w:rFonts w:eastAsia="Times New Roman"/>
          <w:spacing w:val="2"/>
          <w:kern w:val="1"/>
          <w:szCs w:val="20"/>
          <w:lang w:eastAsia="ar-SA"/>
        </w:rPr>
        <w:t>”</w:t>
      </w:r>
      <w:r>
        <w:rPr>
          <w:rFonts w:eastAsia="Times New Roman"/>
          <w:spacing w:val="2"/>
          <w:kern w:val="1"/>
          <w:szCs w:val="20"/>
          <w:lang w:eastAsia="ar-SA"/>
        </w:rPr>
        <w:t>, in quanto posti in diretta collaborazione con il vertice</w:t>
      </w:r>
      <w:r w:rsidR="00C23EDB">
        <w:rPr>
          <w:rFonts w:eastAsia="Times New Roman"/>
          <w:spacing w:val="2"/>
          <w:kern w:val="1"/>
          <w:szCs w:val="20"/>
          <w:lang w:eastAsia="ar-SA"/>
        </w:rPr>
        <w:t xml:space="preserve"> politico</w:t>
      </w:r>
      <w:r w:rsidR="00080E28">
        <w:rPr>
          <w:rFonts w:eastAsia="Times New Roman"/>
          <w:spacing w:val="2"/>
          <w:kern w:val="1"/>
          <w:szCs w:val="20"/>
          <w:lang w:eastAsia="ar-SA"/>
        </w:rPr>
        <w:t xml:space="preserve">, i quali </w:t>
      </w:r>
      <w:r>
        <w:rPr>
          <w:rFonts w:eastAsia="Times New Roman"/>
          <w:spacing w:val="2"/>
          <w:kern w:val="1"/>
          <w:szCs w:val="20"/>
          <w:lang w:eastAsia="ar-SA"/>
        </w:rPr>
        <w:t>non hanno compiti di amministrazione attiva o</w:t>
      </w:r>
      <w:r w:rsidR="00C23EDB">
        <w:rPr>
          <w:rFonts w:eastAsia="Times New Roman"/>
          <w:spacing w:val="2"/>
          <w:kern w:val="1"/>
          <w:szCs w:val="20"/>
          <w:lang w:eastAsia="ar-SA"/>
        </w:rPr>
        <w:t>,</w:t>
      </w:r>
      <w:r>
        <w:rPr>
          <w:rFonts w:eastAsia="Times New Roman"/>
          <w:spacing w:val="2"/>
          <w:kern w:val="1"/>
          <w:szCs w:val="20"/>
          <w:lang w:eastAsia="ar-SA"/>
        </w:rPr>
        <w:t xml:space="preserve"> comunque</w:t>
      </w:r>
      <w:r w:rsidR="00C23EDB">
        <w:rPr>
          <w:rFonts w:eastAsia="Times New Roman"/>
          <w:spacing w:val="2"/>
          <w:kern w:val="1"/>
          <w:szCs w:val="20"/>
          <w:lang w:eastAsia="ar-SA"/>
        </w:rPr>
        <w:t>, di natura gestionale</w:t>
      </w:r>
      <w:r>
        <w:rPr>
          <w:rFonts w:eastAsia="Times New Roman"/>
          <w:spacing w:val="2"/>
          <w:kern w:val="1"/>
          <w:szCs w:val="20"/>
          <w:lang w:eastAsia="ar-SA"/>
        </w:rPr>
        <w:t>.</w:t>
      </w:r>
    </w:p>
    <w:p w14:paraId="7C1568D8" w14:textId="77777777" w:rsidR="00C23EDB" w:rsidRDefault="00080E28" w:rsidP="007D0281">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 xml:space="preserve">In </w:t>
      </w:r>
      <w:r w:rsidR="00F3797F">
        <w:rPr>
          <w:rFonts w:eastAsia="Times New Roman"/>
          <w:spacing w:val="2"/>
          <w:kern w:val="1"/>
          <w:szCs w:val="20"/>
          <w:lang w:eastAsia="ar-SA"/>
        </w:rPr>
        <w:t>particolare</w:t>
      </w:r>
      <w:r>
        <w:rPr>
          <w:rFonts w:eastAsia="Times New Roman"/>
          <w:spacing w:val="2"/>
          <w:kern w:val="1"/>
          <w:szCs w:val="20"/>
          <w:lang w:eastAsia="ar-SA"/>
        </w:rPr>
        <w:t>,</w:t>
      </w:r>
      <w:r w:rsidR="00F3797F">
        <w:rPr>
          <w:rFonts w:eastAsia="Times New Roman"/>
          <w:spacing w:val="2"/>
          <w:kern w:val="1"/>
          <w:szCs w:val="20"/>
          <w:lang w:eastAsia="ar-SA"/>
        </w:rPr>
        <w:t xml:space="preserve"> sul piano delle fonti </w:t>
      </w:r>
      <w:r w:rsidR="00C23EDB">
        <w:rPr>
          <w:rFonts w:eastAsia="Times New Roman"/>
          <w:spacing w:val="2"/>
          <w:kern w:val="1"/>
          <w:szCs w:val="20"/>
          <w:lang w:eastAsia="ar-SA"/>
        </w:rPr>
        <w:t xml:space="preserve">è da chiarire che </w:t>
      </w:r>
      <w:r w:rsidR="00F3797F">
        <w:rPr>
          <w:rFonts w:eastAsia="Times New Roman"/>
          <w:spacing w:val="2"/>
          <w:kern w:val="1"/>
          <w:szCs w:val="20"/>
          <w:lang w:eastAsia="ar-SA"/>
        </w:rPr>
        <w:t xml:space="preserve">la legge demanda al regolamento sull’ordinamento degli uffici e dei servizi la possibilità di costituire gli uffici c.d. </w:t>
      </w:r>
      <w:r w:rsidR="00C23EDB">
        <w:rPr>
          <w:rFonts w:eastAsia="Times New Roman"/>
          <w:spacing w:val="2"/>
          <w:kern w:val="1"/>
          <w:szCs w:val="20"/>
          <w:lang w:eastAsia="ar-SA"/>
        </w:rPr>
        <w:t>“</w:t>
      </w:r>
      <w:r w:rsidR="00F3797F">
        <w:rPr>
          <w:rFonts w:eastAsia="Times New Roman"/>
          <w:spacing w:val="2"/>
          <w:kern w:val="1"/>
          <w:szCs w:val="20"/>
          <w:lang w:eastAsia="ar-SA"/>
        </w:rPr>
        <w:t>di staff</w:t>
      </w:r>
      <w:r w:rsidR="00C23EDB">
        <w:rPr>
          <w:rFonts w:eastAsia="Times New Roman"/>
          <w:spacing w:val="2"/>
          <w:kern w:val="1"/>
          <w:szCs w:val="20"/>
          <w:lang w:eastAsia="ar-SA"/>
        </w:rPr>
        <w:t>”</w:t>
      </w:r>
      <w:r w:rsidR="00443727">
        <w:rPr>
          <w:rFonts w:eastAsia="Times New Roman"/>
          <w:spacing w:val="2"/>
          <w:kern w:val="1"/>
          <w:szCs w:val="20"/>
          <w:lang w:eastAsia="ar-SA"/>
        </w:rPr>
        <w:t xml:space="preserve">. </w:t>
      </w:r>
    </w:p>
    <w:p w14:paraId="1B8DC954" w14:textId="4ABA8B9A" w:rsidR="001A1989" w:rsidRDefault="00443727" w:rsidP="007D0281">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 xml:space="preserve">Sul piano </w:t>
      </w:r>
      <w:r w:rsidR="00C23EDB">
        <w:rPr>
          <w:rFonts w:eastAsia="Times New Roman"/>
          <w:spacing w:val="2"/>
          <w:kern w:val="1"/>
          <w:szCs w:val="20"/>
          <w:lang w:eastAsia="ar-SA"/>
        </w:rPr>
        <w:t xml:space="preserve">del sistema </w:t>
      </w:r>
      <w:r>
        <w:rPr>
          <w:rFonts w:eastAsia="Times New Roman"/>
          <w:spacing w:val="2"/>
          <w:kern w:val="1"/>
          <w:szCs w:val="20"/>
          <w:lang w:eastAsia="ar-SA"/>
        </w:rPr>
        <w:t>organizzativo è previsto che tali uffici s</w:t>
      </w:r>
      <w:r w:rsidR="00C23EDB">
        <w:rPr>
          <w:rFonts w:eastAsia="Times New Roman"/>
          <w:spacing w:val="2"/>
          <w:kern w:val="1"/>
          <w:szCs w:val="20"/>
          <w:lang w:eastAsia="ar-SA"/>
        </w:rPr>
        <w:t>iano posti alle dipendenze del Sindaco (o del P</w:t>
      </w:r>
      <w:r>
        <w:rPr>
          <w:rFonts w:eastAsia="Times New Roman"/>
          <w:spacing w:val="2"/>
          <w:kern w:val="1"/>
          <w:szCs w:val="20"/>
          <w:lang w:eastAsia="ar-SA"/>
        </w:rPr>
        <w:t>res</w:t>
      </w:r>
      <w:r w:rsidR="00C23EDB">
        <w:rPr>
          <w:rFonts w:eastAsia="Times New Roman"/>
          <w:spacing w:val="2"/>
          <w:kern w:val="1"/>
          <w:szCs w:val="20"/>
          <w:lang w:eastAsia="ar-SA"/>
        </w:rPr>
        <w:t>idente della provincia), della Giunta o degli A</w:t>
      </w:r>
      <w:r>
        <w:rPr>
          <w:rFonts w:eastAsia="Times New Roman"/>
          <w:spacing w:val="2"/>
          <w:kern w:val="1"/>
          <w:szCs w:val="20"/>
          <w:lang w:eastAsia="ar-SA"/>
        </w:rPr>
        <w:t>ssessori e che svolgano esclusivamente le funzioni di indirizzo e controllo attribuite dalla legge agli organi che se ne avvalgono. “</w:t>
      </w:r>
      <w:r>
        <w:rPr>
          <w:rFonts w:eastAsia="Times New Roman"/>
          <w:i/>
          <w:spacing w:val="2"/>
          <w:kern w:val="1"/>
          <w:szCs w:val="20"/>
          <w:lang w:eastAsia="ar-SA"/>
        </w:rPr>
        <w:t xml:space="preserve">Ne consegue che, la sussistenza di un regolamento che configura la possibilità di istituire questa tipologia di ufficio, sul piano genetico del rapporto, è un presupposto necessario </w:t>
      </w:r>
      <w:r w:rsidR="00C16A1E">
        <w:rPr>
          <w:rFonts w:eastAsia="Times New Roman"/>
          <w:i/>
          <w:spacing w:val="2"/>
          <w:kern w:val="1"/>
          <w:szCs w:val="20"/>
          <w:lang w:eastAsia="ar-SA"/>
        </w:rPr>
        <w:t xml:space="preserve">ma non sufficiente: infatti, poiché il legislatore prescrive che le mansioni che possono essere demandate al c.d. ufficio di staff possano essere esclusivamente circoscritte alle richiamate funzioni di indirizzo politico, in sede di conferimento dell’incarico, l’organo che procede all’affidamento non può poi esimersi da una valutazione in concreto circa l’esistenza dei presupposti che legittimano il conferimento dell’incarico medesimo” </w:t>
      </w:r>
      <w:r w:rsidR="00C16A1E">
        <w:rPr>
          <w:rFonts w:eastAsia="Times New Roman"/>
          <w:spacing w:val="2"/>
          <w:kern w:val="1"/>
          <w:szCs w:val="20"/>
          <w:lang w:eastAsia="ar-SA"/>
        </w:rPr>
        <w:t xml:space="preserve">(cfr. Sezione regionale di controllo Lombardia, deliberazione n. 389/2016/PRSE). </w:t>
      </w:r>
      <w:r w:rsidR="000B6A26">
        <w:rPr>
          <w:rFonts w:eastAsia="Times New Roman"/>
          <w:spacing w:val="2"/>
          <w:kern w:val="1"/>
          <w:szCs w:val="20"/>
          <w:lang w:eastAsia="ar-SA"/>
        </w:rPr>
        <w:t xml:space="preserve">Considerazione </w:t>
      </w:r>
      <w:r w:rsidR="001C08F2">
        <w:rPr>
          <w:rFonts w:eastAsia="Times New Roman"/>
          <w:spacing w:val="2"/>
          <w:kern w:val="1"/>
          <w:szCs w:val="20"/>
          <w:lang w:eastAsia="ar-SA"/>
        </w:rPr>
        <w:t xml:space="preserve">quanto mai </w:t>
      </w:r>
      <w:r w:rsidR="000B6A26">
        <w:rPr>
          <w:rFonts w:eastAsia="Times New Roman"/>
          <w:spacing w:val="2"/>
          <w:kern w:val="1"/>
          <w:szCs w:val="20"/>
          <w:lang w:eastAsia="ar-SA"/>
        </w:rPr>
        <w:t xml:space="preserve">opportuna in quanto se nell’ente non fosse ravvisabile in concreto </w:t>
      </w:r>
      <w:r w:rsidR="001A1989">
        <w:rPr>
          <w:rFonts w:eastAsia="Times New Roman"/>
          <w:spacing w:val="2"/>
          <w:kern w:val="1"/>
          <w:szCs w:val="20"/>
          <w:lang w:eastAsia="ar-SA"/>
        </w:rPr>
        <w:t>detta complessità organizzativa, l’ufficio di staff finirebbe per duplicare le funzioni o, addirittura, per s</w:t>
      </w:r>
      <w:r w:rsidR="00C23EDB">
        <w:rPr>
          <w:rFonts w:eastAsia="Times New Roman"/>
          <w:spacing w:val="2"/>
          <w:kern w:val="1"/>
          <w:szCs w:val="20"/>
          <w:lang w:eastAsia="ar-SA"/>
        </w:rPr>
        <w:t>ostituire quelle intestate all’O</w:t>
      </w:r>
      <w:r w:rsidR="001A1989">
        <w:rPr>
          <w:rFonts w:eastAsia="Times New Roman"/>
          <w:spacing w:val="2"/>
          <w:kern w:val="1"/>
          <w:szCs w:val="20"/>
          <w:lang w:eastAsia="ar-SA"/>
        </w:rPr>
        <w:t xml:space="preserve">rgano di governo dell’ente. </w:t>
      </w:r>
      <w:r w:rsidR="00C16A1E">
        <w:rPr>
          <w:rFonts w:eastAsia="Times New Roman"/>
          <w:spacing w:val="2"/>
          <w:kern w:val="1"/>
          <w:szCs w:val="20"/>
          <w:lang w:eastAsia="ar-SA"/>
        </w:rPr>
        <w:t xml:space="preserve">Ciò significa che l’ente non può prescindere da una valutazione sulla complessità della struttura organizzativa dell’ente medesimo </w:t>
      </w:r>
      <w:r w:rsidR="00F3403F">
        <w:rPr>
          <w:rFonts w:eastAsia="Times New Roman"/>
          <w:spacing w:val="2"/>
          <w:kern w:val="1"/>
          <w:szCs w:val="20"/>
          <w:lang w:eastAsia="ar-SA"/>
        </w:rPr>
        <w:t>che, a sua volta, è direttamente connessa alle dimensioni dell’ente locale</w:t>
      </w:r>
      <w:r w:rsidR="00C23EDB">
        <w:rPr>
          <w:rFonts w:eastAsia="Times New Roman"/>
          <w:spacing w:val="2"/>
          <w:kern w:val="1"/>
          <w:szCs w:val="20"/>
          <w:lang w:eastAsia="ar-SA"/>
        </w:rPr>
        <w:t xml:space="preserve"> (ampiezza e complessità degli apparati)</w:t>
      </w:r>
      <w:r w:rsidR="00F3403F">
        <w:rPr>
          <w:rFonts w:eastAsia="Times New Roman"/>
          <w:spacing w:val="2"/>
          <w:kern w:val="1"/>
          <w:szCs w:val="20"/>
          <w:lang w:eastAsia="ar-SA"/>
        </w:rPr>
        <w:t xml:space="preserve">. </w:t>
      </w:r>
    </w:p>
    <w:p w14:paraId="166BCA00" w14:textId="039F34A4" w:rsidR="00B408DE" w:rsidRDefault="00F3403F" w:rsidP="007D0281">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 xml:space="preserve">Quindi, nonostante non ci sia uno specifico divieto di legge di prevedere la possibilità di istituire il c.d. ufficio </w:t>
      </w:r>
      <w:r w:rsidR="00C23EDB">
        <w:rPr>
          <w:rFonts w:eastAsia="Times New Roman"/>
          <w:spacing w:val="2"/>
          <w:kern w:val="1"/>
          <w:szCs w:val="20"/>
          <w:lang w:eastAsia="ar-SA"/>
        </w:rPr>
        <w:t>“</w:t>
      </w:r>
      <w:r>
        <w:rPr>
          <w:rFonts w:eastAsia="Times New Roman"/>
          <w:spacing w:val="2"/>
          <w:kern w:val="1"/>
          <w:szCs w:val="20"/>
          <w:lang w:eastAsia="ar-SA"/>
        </w:rPr>
        <w:t>di staff</w:t>
      </w:r>
      <w:r w:rsidR="00C23EDB">
        <w:rPr>
          <w:rFonts w:eastAsia="Times New Roman"/>
          <w:spacing w:val="2"/>
          <w:kern w:val="1"/>
          <w:szCs w:val="20"/>
          <w:lang w:eastAsia="ar-SA"/>
        </w:rPr>
        <w:t>”, negli E</w:t>
      </w:r>
      <w:r>
        <w:rPr>
          <w:rFonts w:eastAsia="Times New Roman"/>
          <w:spacing w:val="2"/>
          <w:kern w:val="1"/>
          <w:szCs w:val="20"/>
          <w:lang w:eastAsia="ar-SA"/>
        </w:rPr>
        <w:t xml:space="preserve">nti locali di ridotte dimensioni la discrezionalità amministrativa riservata al soggetto conferente incontra uno specifico limite nella </w:t>
      </w:r>
      <w:r w:rsidR="00C23EDB">
        <w:rPr>
          <w:rFonts w:eastAsia="Times New Roman"/>
          <w:spacing w:val="2"/>
          <w:kern w:val="1"/>
          <w:szCs w:val="20"/>
          <w:lang w:eastAsia="ar-SA"/>
        </w:rPr>
        <w:t xml:space="preserve">valutazione ex ante che si deve effettuare della </w:t>
      </w:r>
      <w:r>
        <w:rPr>
          <w:rFonts w:eastAsia="Times New Roman"/>
          <w:spacing w:val="2"/>
          <w:kern w:val="1"/>
          <w:szCs w:val="20"/>
          <w:lang w:eastAsia="ar-SA"/>
        </w:rPr>
        <w:t>complessità della struttura organizzativa interna.</w:t>
      </w:r>
    </w:p>
    <w:p w14:paraId="366050CD" w14:textId="5B13805E" w:rsidR="00F3403F" w:rsidRDefault="00F3403F" w:rsidP="007D0281">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Sul piano della consistenza organica si prevede che tali uffici siano costituiti da dipendenti dell’ente ovvero, salvo che per gli enti dissestati o strutturalmente def</w:t>
      </w:r>
      <w:r w:rsidR="00C23EDB">
        <w:rPr>
          <w:rFonts w:eastAsia="Times New Roman"/>
          <w:spacing w:val="2"/>
          <w:kern w:val="1"/>
          <w:szCs w:val="20"/>
          <w:lang w:eastAsia="ar-SA"/>
        </w:rPr>
        <w:t xml:space="preserve">icitari </w:t>
      </w:r>
      <w:r>
        <w:rPr>
          <w:rFonts w:eastAsia="Times New Roman"/>
          <w:spacing w:val="2"/>
          <w:kern w:val="1"/>
          <w:szCs w:val="20"/>
          <w:lang w:eastAsia="ar-SA"/>
        </w:rPr>
        <w:t xml:space="preserve"> </w:t>
      </w:r>
      <w:r w:rsidR="00C23EDB">
        <w:rPr>
          <w:rFonts w:eastAsia="Times New Roman"/>
          <w:spacing w:val="2"/>
          <w:kern w:val="1"/>
          <w:szCs w:val="20"/>
          <w:lang w:eastAsia="ar-SA"/>
        </w:rPr>
        <w:lastRenderedPageBreak/>
        <w:t>(</w:t>
      </w:r>
      <w:r>
        <w:rPr>
          <w:rFonts w:eastAsia="Times New Roman"/>
          <w:spacing w:val="2"/>
          <w:kern w:val="1"/>
          <w:szCs w:val="20"/>
          <w:lang w:eastAsia="ar-SA"/>
        </w:rPr>
        <w:t xml:space="preserve">ai quali vanno equiparati anche gli enti che abbiano fatto ricorso </w:t>
      </w:r>
      <w:r w:rsidR="00A02DDE">
        <w:rPr>
          <w:rFonts w:eastAsia="Times New Roman"/>
          <w:spacing w:val="2"/>
          <w:kern w:val="1"/>
          <w:szCs w:val="20"/>
          <w:lang w:eastAsia="ar-SA"/>
        </w:rPr>
        <w:t>al riequilibrio finanziario pluriennale, secondo quanto affermato</w:t>
      </w:r>
      <w:r w:rsidR="005940AF">
        <w:rPr>
          <w:rFonts w:eastAsia="Times New Roman"/>
          <w:spacing w:val="2"/>
          <w:kern w:val="1"/>
          <w:szCs w:val="20"/>
          <w:lang w:eastAsia="ar-SA"/>
        </w:rPr>
        <w:t xml:space="preserve">, di recente, </w:t>
      </w:r>
      <w:r w:rsidR="00A02DDE">
        <w:rPr>
          <w:rFonts w:eastAsia="Times New Roman"/>
          <w:spacing w:val="2"/>
          <w:kern w:val="1"/>
          <w:szCs w:val="20"/>
          <w:lang w:eastAsia="ar-SA"/>
        </w:rPr>
        <w:t>dalla Sezione regionale di controllo Lazio con deliberazione n. 63/2017/PAR</w:t>
      </w:r>
      <w:r w:rsidR="00C23EDB">
        <w:rPr>
          <w:rFonts w:eastAsia="Times New Roman"/>
          <w:spacing w:val="2"/>
          <w:kern w:val="1"/>
          <w:szCs w:val="20"/>
          <w:lang w:eastAsia="ar-SA"/>
        </w:rPr>
        <w:t>)</w:t>
      </w:r>
      <w:r w:rsidR="00A02DDE">
        <w:rPr>
          <w:rFonts w:eastAsia="Times New Roman"/>
          <w:spacing w:val="2"/>
          <w:kern w:val="1"/>
          <w:szCs w:val="20"/>
          <w:lang w:eastAsia="ar-SA"/>
        </w:rPr>
        <w:t xml:space="preserve"> da collaboratori assunti con contratto a tempo determinato, i quali, se dipendenti da una pubblica amministrazione, sono collocati in aspettativa senza assegni. A tali contratti di lavoro subordinato a tempo determinato si applica il contratto collettivo nazionale di lavoro del p</w:t>
      </w:r>
      <w:r w:rsidR="00C23EDB">
        <w:rPr>
          <w:rFonts w:eastAsia="Times New Roman"/>
          <w:spacing w:val="2"/>
          <w:kern w:val="1"/>
          <w:szCs w:val="20"/>
          <w:lang w:eastAsia="ar-SA"/>
        </w:rPr>
        <w:t>ersonale degli E</w:t>
      </w:r>
      <w:r w:rsidR="005940AF">
        <w:rPr>
          <w:rFonts w:eastAsia="Times New Roman"/>
          <w:spacing w:val="2"/>
          <w:kern w:val="1"/>
          <w:szCs w:val="20"/>
          <w:lang w:eastAsia="ar-SA"/>
        </w:rPr>
        <w:t>nti L</w:t>
      </w:r>
      <w:r w:rsidR="00A02DDE">
        <w:rPr>
          <w:rFonts w:eastAsia="Times New Roman"/>
          <w:spacing w:val="2"/>
          <w:kern w:val="1"/>
          <w:szCs w:val="20"/>
          <w:lang w:eastAsia="ar-SA"/>
        </w:rPr>
        <w:t>ocali.</w:t>
      </w:r>
    </w:p>
    <w:p w14:paraId="3D3A6691" w14:textId="77777777" w:rsidR="00C23EDB" w:rsidRDefault="001C2D06" w:rsidP="001C2D06">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La Sezione osserva come la giurisprudenza contabile</w:t>
      </w:r>
      <w:r w:rsidR="0013767E">
        <w:rPr>
          <w:rFonts w:eastAsia="Times New Roman"/>
          <w:spacing w:val="2"/>
          <w:kern w:val="1"/>
          <w:szCs w:val="20"/>
          <w:lang w:eastAsia="ar-SA"/>
        </w:rPr>
        <w:t xml:space="preserve"> (</w:t>
      </w:r>
      <w:r w:rsidR="0013767E" w:rsidRPr="0013767E">
        <w:rPr>
          <w:rFonts w:eastAsia="Times New Roman"/>
          <w:i/>
          <w:spacing w:val="2"/>
          <w:kern w:val="1"/>
          <w:szCs w:val="20"/>
          <w:lang w:eastAsia="ar-SA"/>
        </w:rPr>
        <w:t xml:space="preserve">ex </w:t>
      </w:r>
      <w:proofErr w:type="spellStart"/>
      <w:r w:rsidR="0013767E" w:rsidRPr="0013767E">
        <w:rPr>
          <w:rFonts w:eastAsia="Times New Roman"/>
          <w:i/>
          <w:spacing w:val="2"/>
          <w:kern w:val="1"/>
          <w:szCs w:val="20"/>
          <w:lang w:eastAsia="ar-SA"/>
        </w:rPr>
        <w:t>multis</w:t>
      </w:r>
      <w:proofErr w:type="spellEnd"/>
      <w:r w:rsidR="0013767E">
        <w:rPr>
          <w:rFonts w:eastAsia="Times New Roman"/>
          <w:spacing w:val="2"/>
          <w:kern w:val="1"/>
          <w:szCs w:val="20"/>
          <w:lang w:eastAsia="ar-SA"/>
        </w:rPr>
        <w:t xml:space="preserve"> SRC Piemonte, deliberazione n. 31</w:t>
      </w:r>
      <w:r w:rsidR="00753904">
        <w:rPr>
          <w:rFonts w:eastAsia="Times New Roman"/>
          <w:spacing w:val="2"/>
          <w:kern w:val="1"/>
          <w:szCs w:val="20"/>
          <w:lang w:eastAsia="ar-SA"/>
        </w:rPr>
        <w:t xml:space="preserve">2/2013/PAR; </w:t>
      </w:r>
      <w:r w:rsidR="0013767E">
        <w:rPr>
          <w:rFonts w:eastAsia="Times New Roman"/>
          <w:spacing w:val="2"/>
          <w:kern w:val="1"/>
          <w:szCs w:val="20"/>
          <w:lang w:eastAsia="ar-SA"/>
        </w:rPr>
        <w:t>SRC Campania, deliberazione n. 155/2014/PAR</w:t>
      </w:r>
      <w:r w:rsidR="00753904">
        <w:rPr>
          <w:rFonts w:eastAsia="Times New Roman"/>
          <w:spacing w:val="2"/>
          <w:kern w:val="1"/>
          <w:szCs w:val="20"/>
          <w:lang w:eastAsia="ar-SA"/>
        </w:rPr>
        <w:t xml:space="preserve"> e SRC Lombardia, deliberazione n. 292/2015/PAR</w:t>
      </w:r>
      <w:r w:rsidR="0013767E">
        <w:rPr>
          <w:rFonts w:eastAsia="Times New Roman"/>
          <w:spacing w:val="2"/>
          <w:kern w:val="1"/>
          <w:szCs w:val="20"/>
          <w:lang w:eastAsia="ar-SA"/>
        </w:rPr>
        <w:t xml:space="preserve">) </w:t>
      </w:r>
      <w:r>
        <w:rPr>
          <w:rFonts w:eastAsia="Times New Roman"/>
          <w:spacing w:val="2"/>
          <w:kern w:val="1"/>
          <w:szCs w:val="20"/>
          <w:lang w:eastAsia="ar-SA"/>
        </w:rPr>
        <w:t xml:space="preserve">abbia già avuto modo di analizzare l’istituto di cui all’art. 90 TUEL elaborando una serie di principi che connotano il rapporto di lavoro di “staff” alle dipendenze di un ente locale. </w:t>
      </w:r>
    </w:p>
    <w:p w14:paraId="56780AA1" w14:textId="681595AE" w:rsidR="001C2D06" w:rsidRDefault="00E429DE" w:rsidP="001C2D06">
      <w:pPr>
        <w:suppressAutoHyphens/>
        <w:spacing w:after="0" w:line="360" w:lineRule="auto"/>
        <w:ind w:left="567" w:firstLine="708"/>
        <w:textAlignment w:val="baseline"/>
        <w:rPr>
          <w:rFonts w:eastAsia="Times New Roman"/>
          <w:spacing w:val="2"/>
          <w:kern w:val="1"/>
          <w:szCs w:val="20"/>
          <w:lang w:eastAsia="ar-SA"/>
        </w:rPr>
      </w:pPr>
      <w:r>
        <w:rPr>
          <w:rFonts w:eastAsia="Times New Roman"/>
          <w:spacing w:val="2"/>
          <w:kern w:val="1"/>
          <w:szCs w:val="20"/>
          <w:lang w:eastAsia="ar-SA"/>
        </w:rPr>
        <w:t>In</w:t>
      </w:r>
      <w:r w:rsidR="00C103B8">
        <w:rPr>
          <w:rFonts w:eastAsia="Times New Roman"/>
          <w:spacing w:val="2"/>
          <w:kern w:val="1"/>
          <w:szCs w:val="20"/>
          <w:lang w:eastAsia="ar-SA"/>
        </w:rPr>
        <w:t xml:space="preserve"> </w:t>
      </w:r>
      <w:r w:rsidR="007D1E19">
        <w:rPr>
          <w:rFonts w:eastAsia="Times New Roman"/>
          <w:spacing w:val="2"/>
          <w:kern w:val="1"/>
          <w:szCs w:val="20"/>
          <w:lang w:eastAsia="ar-SA"/>
        </w:rPr>
        <w:t xml:space="preserve">particolare, </w:t>
      </w:r>
      <w:r w:rsidR="00C23EDB">
        <w:rPr>
          <w:rFonts w:eastAsia="Times New Roman"/>
          <w:spacing w:val="2"/>
          <w:kern w:val="1"/>
          <w:szCs w:val="20"/>
          <w:lang w:eastAsia="ar-SA"/>
        </w:rPr>
        <w:t>è opportuno richiamare l’attenzione sull’ affermazione de</w:t>
      </w:r>
      <w:r>
        <w:rPr>
          <w:rFonts w:eastAsia="Times New Roman"/>
          <w:spacing w:val="2"/>
          <w:kern w:val="1"/>
          <w:szCs w:val="20"/>
          <w:lang w:eastAsia="ar-SA"/>
        </w:rPr>
        <w:t>i seguenti principi:</w:t>
      </w:r>
    </w:p>
    <w:p w14:paraId="757A68B7" w14:textId="205601B6" w:rsidR="00E429DE" w:rsidRPr="0042033B" w:rsidRDefault="00E429DE" w:rsidP="00E429DE">
      <w:pPr>
        <w:pStyle w:val="Paragrafoelenco"/>
        <w:numPr>
          <w:ilvl w:val="0"/>
          <w:numId w:val="9"/>
        </w:numPr>
        <w:suppressAutoHyphens/>
        <w:spacing w:after="0" w:line="360" w:lineRule="auto"/>
        <w:textAlignment w:val="baseline"/>
        <w:rPr>
          <w:rFonts w:eastAsia="Times New Roman"/>
          <w:spacing w:val="2"/>
          <w:kern w:val="1"/>
          <w:szCs w:val="20"/>
          <w:lang w:eastAsia="ar-SA"/>
        </w:rPr>
      </w:pPr>
      <w:r w:rsidRPr="00832936">
        <w:rPr>
          <w:rFonts w:eastAsia="Times New Roman"/>
          <w:spacing w:val="2"/>
          <w:kern w:val="1"/>
          <w:szCs w:val="20"/>
          <w:u w:val="single"/>
          <w:lang w:eastAsia="ar-SA"/>
        </w:rPr>
        <w:t>la necessità che tali uffici non svolgano funzioni gestionali</w:t>
      </w:r>
      <w:r w:rsidRPr="00E429DE">
        <w:rPr>
          <w:rFonts w:eastAsia="Times New Roman"/>
          <w:spacing w:val="2"/>
          <w:kern w:val="1"/>
          <w:szCs w:val="20"/>
          <w:lang w:eastAsia="ar-SA"/>
        </w:rPr>
        <w:t>. Il personale in staff, infatti, ai sensi dell’art. 90 TUEL</w:t>
      </w:r>
      <w:r>
        <w:rPr>
          <w:rFonts w:eastAsia="Times New Roman"/>
          <w:spacing w:val="2"/>
          <w:kern w:val="1"/>
          <w:szCs w:val="20"/>
          <w:lang w:eastAsia="ar-SA"/>
        </w:rPr>
        <w:t>,</w:t>
      </w:r>
      <w:r w:rsidRPr="00E429DE">
        <w:rPr>
          <w:rFonts w:eastAsia="Times New Roman"/>
          <w:spacing w:val="2"/>
          <w:kern w:val="1"/>
          <w:szCs w:val="20"/>
          <w:lang w:eastAsia="ar-SA"/>
        </w:rPr>
        <w:t xml:space="preserve"> </w:t>
      </w:r>
      <w:r w:rsidR="00C103B8">
        <w:rPr>
          <w:rFonts w:eastAsia="Times New Roman"/>
          <w:spacing w:val="2"/>
          <w:kern w:val="1"/>
          <w:szCs w:val="20"/>
          <w:lang w:eastAsia="ar-SA"/>
        </w:rPr>
        <w:t xml:space="preserve">operando alle dirette dipendenze dell’organo politico di governo dell’ente, </w:t>
      </w:r>
      <w:r>
        <w:rPr>
          <w:rFonts w:eastAsia="Times New Roman"/>
          <w:spacing w:val="2"/>
          <w:kern w:val="1"/>
          <w:szCs w:val="20"/>
          <w:lang w:eastAsia="ar-SA"/>
        </w:rPr>
        <w:t xml:space="preserve">può svolgere esclusivamente funzioni di supporto all’attività di indirizzo </w:t>
      </w:r>
      <w:r w:rsidR="00C103B8">
        <w:rPr>
          <w:rFonts w:eastAsia="Times New Roman"/>
          <w:spacing w:val="2"/>
          <w:kern w:val="1"/>
          <w:szCs w:val="20"/>
          <w:lang w:eastAsia="ar-SA"/>
        </w:rPr>
        <w:t xml:space="preserve">politico </w:t>
      </w:r>
      <w:r>
        <w:rPr>
          <w:rFonts w:eastAsia="Times New Roman"/>
          <w:spacing w:val="2"/>
          <w:kern w:val="1"/>
          <w:szCs w:val="20"/>
          <w:lang w:eastAsia="ar-SA"/>
        </w:rPr>
        <w:t xml:space="preserve">e </w:t>
      </w:r>
      <w:r w:rsidR="00946B42">
        <w:rPr>
          <w:rFonts w:eastAsia="Times New Roman"/>
          <w:spacing w:val="2"/>
          <w:kern w:val="1"/>
          <w:szCs w:val="20"/>
          <w:lang w:eastAsia="ar-SA"/>
        </w:rPr>
        <w:t xml:space="preserve">di </w:t>
      </w:r>
      <w:r>
        <w:rPr>
          <w:rFonts w:eastAsia="Times New Roman"/>
          <w:spacing w:val="2"/>
          <w:kern w:val="1"/>
          <w:szCs w:val="20"/>
          <w:lang w:eastAsia="ar-SA"/>
        </w:rPr>
        <w:t xml:space="preserve">controllo </w:t>
      </w:r>
      <w:r w:rsidR="00C103B8">
        <w:rPr>
          <w:rFonts w:eastAsia="Times New Roman"/>
          <w:spacing w:val="2"/>
          <w:kern w:val="1"/>
          <w:szCs w:val="20"/>
          <w:lang w:eastAsia="ar-SA"/>
        </w:rPr>
        <w:t>che la legge assegna al medesimo organo di governo con conseguente esclusione di ogni sovrapposizione con le attività di ordinaria gestione dell’ente</w:t>
      </w:r>
      <w:r w:rsidR="00F457EC">
        <w:rPr>
          <w:rFonts w:eastAsia="Times New Roman"/>
          <w:spacing w:val="2"/>
          <w:kern w:val="1"/>
          <w:szCs w:val="20"/>
          <w:lang w:eastAsia="ar-SA"/>
        </w:rPr>
        <w:t xml:space="preserve"> (cfr. SRC Lombardia, deliberazione n. 43/2007/PAR)</w:t>
      </w:r>
      <w:r w:rsidR="00C103B8">
        <w:rPr>
          <w:rFonts w:eastAsia="Times New Roman"/>
          <w:spacing w:val="2"/>
          <w:kern w:val="1"/>
          <w:szCs w:val="20"/>
          <w:lang w:eastAsia="ar-SA"/>
        </w:rPr>
        <w:t>. Il principio sopra esposto è stato chiaramente sintetizzato dalla Sezione Prima Giurisdizionale Centrale della Corte dei conti nella sentenza n. 785/2012/A laddove ha affermato che “</w:t>
      </w:r>
      <w:r w:rsidR="00C103B8" w:rsidRPr="00047018">
        <w:rPr>
          <w:rFonts w:eastAsia="Times New Roman"/>
          <w:i/>
          <w:spacing w:val="2"/>
          <w:kern w:val="1"/>
          <w:szCs w:val="20"/>
          <w:lang w:eastAsia="ar-SA"/>
        </w:rPr>
        <w:t>l’incarico ex art.90 non può negli effetti andare a sovrapporsi a competenze gestionali ed istituzionali dell’ente. Se così il legislatore avesse voluto, si sarebbe espresso in maniera completamente diversa</w:t>
      </w:r>
      <w:r w:rsidR="00047018" w:rsidRPr="00047018">
        <w:rPr>
          <w:rFonts w:eastAsia="Times New Roman"/>
          <w:i/>
          <w:spacing w:val="2"/>
          <w:kern w:val="1"/>
          <w:szCs w:val="20"/>
          <w:lang w:eastAsia="ar-SA"/>
        </w:rPr>
        <w:t xml:space="preserve"> e non avrebbe affatto fatto riferimento alle funzioni di indirizzo e controllo dell’autorità politica</w:t>
      </w:r>
      <w:r w:rsidR="00047018">
        <w:rPr>
          <w:rFonts w:eastAsia="Times New Roman"/>
          <w:spacing w:val="2"/>
          <w:kern w:val="1"/>
          <w:szCs w:val="20"/>
          <w:lang w:eastAsia="ar-SA"/>
        </w:rPr>
        <w:t>”. Ancora di recente la</w:t>
      </w:r>
      <w:r w:rsidR="00946B42">
        <w:rPr>
          <w:rFonts w:eastAsia="Times New Roman"/>
          <w:spacing w:val="2"/>
          <w:kern w:val="1"/>
          <w:szCs w:val="20"/>
          <w:lang w:eastAsia="ar-SA"/>
        </w:rPr>
        <w:t xml:space="preserve"> stessa</w:t>
      </w:r>
      <w:r w:rsidR="00047018">
        <w:rPr>
          <w:rFonts w:eastAsia="Times New Roman"/>
          <w:spacing w:val="2"/>
          <w:kern w:val="1"/>
          <w:szCs w:val="20"/>
          <w:lang w:eastAsia="ar-SA"/>
        </w:rPr>
        <w:t xml:space="preserve"> giurisprudenza </w:t>
      </w:r>
      <w:r w:rsidR="00946B42">
        <w:rPr>
          <w:rFonts w:eastAsia="Times New Roman"/>
          <w:spacing w:val="2"/>
          <w:kern w:val="1"/>
          <w:szCs w:val="20"/>
          <w:lang w:eastAsia="ar-SA"/>
        </w:rPr>
        <w:t xml:space="preserve">contabile </w:t>
      </w:r>
      <w:r w:rsidR="00047018">
        <w:rPr>
          <w:rFonts w:eastAsia="Times New Roman"/>
          <w:spacing w:val="2"/>
          <w:kern w:val="1"/>
          <w:szCs w:val="20"/>
          <w:lang w:eastAsia="ar-SA"/>
        </w:rPr>
        <w:t xml:space="preserve">(Sez. Giur. Puglia, sentenza n. 208/2013) ha ribadito che la previsione dell’art. 90 del TUEL </w:t>
      </w:r>
      <w:r w:rsidR="004B09DD">
        <w:rPr>
          <w:rFonts w:eastAsia="Times New Roman"/>
          <w:spacing w:val="2"/>
          <w:kern w:val="1"/>
          <w:szCs w:val="20"/>
          <w:lang w:eastAsia="ar-SA"/>
        </w:rPr>
        <w:t>“</w:t>
      </w:r>
      <w:r w:rsidR="004B09DD">
        <w:rPr>
          <w:rFonts w:eastAsia="Times New Roman"/>
          <w:i/>
          <w:spacing w:val="2"/>
          <w:kern w:val="1"/>
          <w:szCs w:val="20"/>
          <w:lang w:eastAsia="ar-SA"/>
        </w:rPr>
        <w:t xml:space="preserve">costituisce un portato del principio di separazione tra politica e amministrazione, rispondendo alla finalità di assicurare agli Organi titolari della specifica funzione di “direzione politica” di potersi avvalere di uffici posti alle proprie dirette dipendenze  sotto il profilo funzionale e, per tale via, di poter disporre, al fine di supportare il concreto “esercizio delle funzioni di indirizzo e controllo” di loro esclusiva spettanza, di personale diretto in prima persona, senza il tramite dell’apparato gerarchico amministrativo, che ad essi direttamente risponda nell’ambito di un rapporto instaurato in base all’ </w:t>
      </w:r>
      <w:proofErr w:type="spellStart"/>
      <w:r w:rsidR="004B09DD" w:rsidRPr="004B09DD">
        <w:rPr>
          <w:rFonts w:eastAsia="Times New Roman"/>
          <w:spacing w:val="2"/>
          <w:kern w:val="1"/>
          <w:szCs w:val="20"/>
          <w:lang w:eastAsia="ar-SA"/>
        </w:rPr>
        <w:t>intuitu</w:t>
      </w:r>
      <w:proofErr w:type="spellEnd"/>
      <w:r w:rsidR="004B09DD" w:rsidRPr="004B09DD">
        <w:rPr>
          <w:rFonts w:eastAsia="Times New Roman"/>
          <w:spacing w:val="2"/>
          <w:kern w:val="1"/>
          <w:szCs w:val="20"/>
          <w:lang w:eastAsia="ar-SA"/>
        </w:rPr>
        <w:t xml:space="preserve"> personae</w:t>
      </w:r>
      <w:r w:rsidR="004B09DD">
        <w:rPr>
          <w:rFonts w:eastAsia="Times New Roman"/>
          <w:i/>
          <w:spacing w:val="2"/>
          <w:kern w:val="1"/>
          <w:szCs w:val="20"/>
          <w:lang w:eastAsia="ar-SA"/>
        </w:rPr>
        <w:t>”</w:t>
      </w:r>
      <w:r w:rsidR="0042033B">
        <w:rPr>
          <w:rFonts w:eastAsia="Times New Roman"/>
          <w:i/>
          <w:spacing w:val="2"/>
          <w:kern w:val="1"/>
          <w:szCs w:val="20"/>
          <w:lang w:eastAsia="ar-SA"/>
        </w:rPr>
        <w:t>;</w:t>
      </w:r>
    </w:p>
    <w:p w14:paraId="3592356D" w14:textId="5DF3A1A0" w:rsidR="0042033B" w:rsidRDefault="00F457EC" w:rsidP="00E429DE">
      <w:pPr>
        <w:pStyle w:val="Paragrafoelenco"/>
        <w:numPr>
          <w:ilvl w:val="0"/>
          <w:numId w:val="9"/>
        </w:numPr>
        <w:suppressAutoHyphens/>
        <w:spacing w:after="0" w:line="360" w:lineRule="auto"/>
        <w:textAlignment w:val="baseline"/>
        <w:rPr>
          <w:rFonts w:eastAsia="Times New Roman"/>
          <w:spacing w:val="2"/>
          <w:kern w:val="1"/>
          <w:szCs w:val="20"/>
          <w:lang w:eastAsia="ar-SA"/>
        </w:rPr>
      </w:pPr>
      <w:r w:rsidRPr="00832936">
        <w:rPr>
          <w:rFonts w:eastAsia="Times New Roman"/>
          <w:spacing w:val="2"/>
          <w:kern w:val="1"/>
          <w:szCs w:val="20"/>
          <w:u w:val="single"/>
          <w:lang w:eastAsia="ar-SA"/>
        </w:rPr>
        <w:t xml:space="preserve">il carattere </w:t>
      </w:r>
      <w:proofErr w:type="spellStart"/>
      <w:r w:rsidRPr="00832936">
        <w:rPr>
          <w:rFonts w:eastAsia="Times New Roman"/>
          <w:spacing w:val="2"/>
          <w:kern w:val="1"/>
          <w:szCs w:val="20"/>
          <w:u w:val="single"/>
          <w:lang w:eastAsia="ar-SA"/>
        </w:rPr>
        <w:t>dotazionale</w:t>
      </w:r>
      <w:proofErr w:type="spellEnd"/>
      <w:r w:rsidRPr="00832936">
        <w:rPr>
          <w:rFonts w:eastAsia="Times New Roman"/>
          <w:spacing w:val="2"/>
          <w:kern w:val="1"/>
          <w:szCs w:val="20"/>
          <w:u w:val="single"/>
          <w:lang w:eastAsia="ar-SA"/>
        </w:rPr>
        <w:t xml:space="preserve"> delle assunzioni effettuate ai sensi dell’art.90 TUEL</w:t>
      </w:r>
      <w:r>
        <w:rPr>
          <w:rFonts w:eastAsia="Times New Roman"/>
          <w:spacing w:val="2"/>
          <w:kern w:val="1"/>
          <w:szCs w:val="20"/>
          <w:lang w:eastAsia="ar-SA"/>
        </w:rPr>
        <w:t xml:space="preserve"> a differenza di quelle ex art. 110 TUEL, di carattere </w:t>
      </w:r>
      <w:proofErr w:type="spellStart"/>
      <w:r>
        <w:rPr>
          <w:rFonts w:eastAsia="Times New Roman"/>
          <w:spacing w:val="2"/>
          <w:kern w:val="1"/>
          <w:szCs w:val="20"/>
          <w:lang w:eastAsia="ar-SA"/>
        </w:rPr>
        <w:t>extradotazionale</w:t>
      </w:r>
      <w:proofErr w:type="spellEnd"/>
      <w:r>
        <w:rPr>
          <w:rFonts w:eastAsia="Times New Roman"/>
          <w:spacing w:val="2"/>
          <w:kern w:val="1"/>
          <w:szCs w:val="20"/>
          <w:lang w:eastAsia="ar-SA"/>
        </w:rPr>
        <w:t xml:space="preserve"> (cfr. Sez. Giur. Toscana, sentenza n. 622/2004)</w:t>
      </w:r>
      <w:r w:rsidR="00FB3221">
        <w:rPr>
          <w:rFonts w:eastAsia="Times New Roman"/>
          <w:spacing w:val="2"/>
          <w:kern w:val="1"/>
          <w:szCs w:val="20"/>
          <w:lang w:eastAsia="ar-SA"/>
        </w:rPr>
        <w:t>. Infatti</w:t>
      </w:r>
      <w:r w:rsidR="00D42B47">
        <w:rPr>
          <w:rFonts w:eastAsia="Times New Roman"/>
          <w:spacing w:val="2"/>
          <w:kern w:val="1"/>
          <w:szCs w:val="20"/>
          <w:lang w:eastAsia="ar-SA"/>
        </w:rPr>
        <w:t>,</w:t>
      </w:r>
      <w:r w:rsidR="00FB3221">
        <w:rPr>
          <w:rFonts w:eastAsia="Times New Roman"/>
          <w:spacing w:val="2"/>
          <w:kern w:val="1"/>
          <w:szCs w:val="20"/>
          <w:lang w:eastAsia="ar-SA"/>
        </w:rPr>
        <w:t xml:space="preserve"> </w:t>
      </w:r>
      <w:r w:rsidR="00B7280A">
        <w:rPr>
          <w:rFonts w:eastAsia="Times New Roman"/>
          <w:spacing w:val="2"/>
          <w:kern w:val="1"/>
          <w:szCs w:val="20"/>
          <w:lang w:eastAsia="ar-SA"/>
        </w:rPr>
        <w:t xml:space="preserve">l’incarico ex art. 90 è ontologicamente </w:t>
      </w:r>
      <w:r w:rsidR="00B7280A">
        <w:rPr>
          <w:rFonts w:eastAsia="Times New Roman"/>
          <w:spacing w:val="2"/>
          <w:kern w:val="1"/>
          <w:szCs w:val="20"/>
          <w:lang w:eastAsia="ar-SA"/>
        </w:rPr>
        <w:lastRenderedPageBreak/>
        <w:t>incompatibile con un incarico ex art. 110 TUEL (cfr. SRC Piemonte, deliberazione n. 312/2013/PAR)</w:t>
      </w:r>
      <w:r>
        <w:rPr>
          <w:rFonts w:eastAsia="Times New Roman"/>
          <w:spacing w:val="2"/>
          <w:kern w:val="1"/>
          <w:szCs w:val="20"/>
          <w:lang w:eastAsia="ar-SA"/>
        </w:rPr>
        <w:t>;</w:t>
      </w:r>
    </w:p>
    <w:p w14:paraId="4FD65FA1" w14:textId="1E8C7398" w:rsidR="00753904" w:rsidRDefault="00F457EC" w:rsidP="00E429DE">
      <w:pPr>
        <w:pStyle w:val="Paragrafoelenco"/>
        <w:numPr>
          <w:ilvl w:val="0"/>
          <w:numId w:val="9"/>
        </w:numPr>
        <w:suppressAutoHyphens/>
        <w:spacing w:after="0" w:line="360" w:lineRule="auto"/>
        <w:textAlignment w:val="baseline"/>
        <w:rPr>
          <w:rFonts w:eastAsia="Times New Roman"/>
          <w:spacing w:val="2"/>
          <w:kern w:val="1"/>
          <w:szCs w:val="20"/>
          <w:lang w:eastAsia="ar-SA"/>
        </w:rPr>
      </w:pPr>
      <w:r w:rsidRPr="00832936">
        <w:rPr>
          <w:rFonts w:eastAsia="Times New Roman"/>
          <w:spacing w:val="2"/>
          <w:kern w:val="1"/>
          <w:szCs w:val="20"/>
          <w:u w:val="single"/>
          <w:lang w:eastAsia="ar-SA"/>
        </w:rPr>
        <w:t>il carattere fiduciario della selezione del personale</w:t>
      </w:r>
      <w:r>
        <w:rPr>
          <w:rFonts w:eastAsia="Times New Roman"/>
          <w:spacing w:val="2"/>
          <w:kern w:val="1"/>
          <w:szCs w:val="20"/>
          <w:lang w:eastAsia="ar-SA"/>
        </w:rPr>
        <w:t>.</w:t>
      </w:r>
      <w:r w:rsidR="009A2980">
        <w:rPr>
          <w:rFonts w:eastAsia="Times New Roman"/>
          <w:spacing w:val="2"/>
          <w:kern w:val="1"/>
          <w:szCs w:val="20"/>
          <w:lang w:eastAsia="ar-SA"/>
        </w:rPr>
        <w:t xml:space="preserve"> È opportuno, in ogni caso, </w:t>
      </w:r>
      <w:r w:rsidR="00C409F4">
        <w:rPr>
          <w:rFonts w:eastAsia="Times New Roman"/>
          <w:spacing w:val="2"/>
          <w:kern w:val="1"/>
          <w:szCs w:val="20"/>
          <w:lang w:eastAsia="ar-SA"/>
        </w:rPr>
        <w:t xml:space="preserve">ricordare che la specializzazione va valutata in relazione alle funzioni da svolgere, tenendo conto della declaratoria delle funzioni </w:t>
      </w:r>
      <w:r w:rsidR="009A2980">
        <w:rPr>
          <w:rFonts w:eastAsia="Times New Roman"/>
          <w:spacing w:val="2"/>
          <w:kern w:val="1"/>
          <w:szCs w:val="20"/>
          <w:lang w:eastAsia="ar-SA"/>
        </w:rPr>
        <w:t>previste da ogni qualifica funzionale nel CCNL</w:t>
      </w:r>
      <w:r w:rsidR="00B7280A">
        <w:rPr>
          <w:rFonts w:eastAsia="Times New Roman"/>
          <w:spacing w:val="2"/>
          <w:kern w:val="1"/>
          <w:szCs w:val="20"/>
          <w:lang w:eastAsia="ar-SA"/>
        </w:rPr>
        <w:t xml:space="preserve"> </w:t>
      </w:r>
      <w:r w:rsidR="009A2980">
        <w:rPr>
          <w:rFonts w:eastAsia="Times New Roman"/>
          <w:spacing w:val="2"/>
          <w:kern w:val="1"/>
          <w:szCs w:val="20"/>
          <w:lang w:eastAsia="ar-SA"/>
        </w:rPr>
        <w:t>e dai titoli previsti dallo stesso contratto per l’accesso dall’esterno</w:t>
      </w:r>
      <w:r w:rsidR="00B7280A">
        <w:rPr>
          <w:rFonts w:eastAsia="Times New Roman"/>
          <w:spacing w:val="2"/>
          <w:kern w:val="1"/>
          <w:szCs w:val="20"/>
          <w:lang w:eastAsia="ar-SA"/>
        </w:rPr>
        <w:t>. Infatti il comando normativo dell’art.</w:t>
      </w:r>
      <w:r w:rsidR="005940AF">
        <w:rPr>
          <w:rFonts w:eastAsia="Times New Roman"/>
          <w:spacing w:val="2"/>
          <w:kern w:val="1"/>
          <w:szCs w:val="20"/>
          <w:lang w:eastAsia="ar-SA"/>
        </w:rPr>
        <w:t xml:space="preserve"> </w:t>
      </w:r>
      <w:r w:rsidR="00B7280A">
        <w:rPr>
          <w:rFonts w:eastAsia="Times New Roman"/>
          <w:spacing w:val="2"/>
          <w:kern w:val="1"/>
          <w:szCs w:val="20"/>
          <w:lang w:eastAsia="ar-SA"/>
        </w:rPr>
        <w:t>90</w:t>
      </w:r>
      <w:r w:rsidR="00DE48AF">
        <w:rPr>
          <w:rFonts w:eastAsia="Times New Roman"/>
          <w:spacing w:val="2"/>
          <w:kern w:val="1"/>
          <w:szCs w:val="20"/>
          <w:lang w:eastAsia="ar-SA"/>
        </w:rPr>
        <w:t xml:space="preserve"> non permette “</w:t>
      </w:r>
      <w:r w:rsidR="00DE48AF">
        <w:rPr>
          <w:rFonts w:eastAsia="Times New Roman"/>
          <w:i/>
          <w:spacing w:val="2"/>
          <w:kern w:val="1"/>
          <w:szCs w:val="20"/>
          <w:lang w:eastAsia="ar-SA"/>
        </w:rPr>
        <w:t xml:space="preserve">di prescindere dalla valutazione della specificazione della categoria e del profilo professionale che, visti anche gli insegnamenti della Corte costituzionale, 28 luglio 1999, n. 364, la quale ha rimarcato la necessaria comparazione nello scrutinio dei soggetti aspiranti ad essere incardinati nella Pubblica Amministrazione, costituiscono fondamentali elementi di valutazione al fine dell’inserimento di un soggetto nell’organizzazione della Pubblica Amministrazione. La presenza dell’elemento fiduciario, che pur deve sussistere nell’ambito di un rapporto di staff, pertanto, non prescinde </w:t>
      </w:r>
      <w:r w:rsidR="0022514B">
        <w:rPr>
          <w:rFonts w:eastAsia="Times New Roman"/>
          <w:i/>
          <w:spacing w:val="2"/>
          <w:kern w:val="1"/>
          <w:szCs w:val="20"/>
          <w:lang w:eastAsia="ar-SA"/>
        </w:rPr>
        <w:t>da un’oggettiva valutazione del curriculum vitae del soggetto preso in considerazione, anche al fine di collocare nell’ambito della “macchina amministrativa”</w:t>
      </w:r>
      <w:r w:rsidR="00753904">
        <w:rPr>
          <w:rFonts w:eastAsia="Times New Roman"/>
          <w:i/>
          <w:spacing w:val="2"/>
          <w:kern w:val="1"/>
          <w:szCs w:val="20"/>
          <w:lang w:eastAsia="ar-SA"/>
        </w:rPr>
        <w:t xml:space="preserve"> collaboratori in osservanza del fondamentale principio di trasparenza che deve connotare l’attività dell’Amministrazione</w:t>
      </w:r>
      <w:r w:rsidR="00753904">
        <w:rPr>
          <w:rFonts w:eastAsia="Times New Roman"/>
          <w:spacing w:val="2"/>
          <w:kern w:val="1"/>
          <w:szCs w:val="20"/>
          <w:lang w:eastAsia="ar-SA"/>
        </w:rPr>
        <w:t>” (Sez. Giur. Toscana, sentenza n. 622/2004)</w:t>
      </w:r>
      <w:r w:rsidR="00A0117C">
        <w:rPr>
          <w:rFonts w:eastAsia="Times New Roman"/>
          <w:spacing w:val="2"/>
          <w:kern w:val="1"/>
          <w:szCs w:val="20"/>
          <w:lang w:eastAsia="ar-SA"/>
        </w:rPr>
        <w:t xml:space="preserve">.  Da ciò deriva che l’amministrazione locale che intende affidare l’incarico di staff ha il dovere di motivare </w:t>
      </w:r>
      <w:r w:rsidR="00946B42">
        <w:rPr>
          <w:rFonts w:eastAsia="Times New Roman"/>
          <w:spacing w:val="2"/>
          <w:kern w:val="1"/>
          <w:szCs w:val="20"/>
          <w:lang w:eastAsia="ar-SA"/>
        </w:rPr>
        <w:t>il provvedimento richiamando l</w:t>
      </w:r>
      <w:r w:rsidR="00A0117C">
        <w:rPr>
          <w:rFonts w:eastAsia="Times New Roman"/>
          <w:spacing w:val="2"/>
          <w:kern w:val="1"/>
          <w:szCs w:val="20"/>
          <w:lang w:eastAsia="ar-SA"/>
        </w:rPr>
        <w:t>a sussistenza dei presupposti di adeguata professionalità e di esperienza per lo svolgimento delle funzioni tipiche di supporto all’organo politico ovvero per lo svolgimento delle funzioni di indirizzo e controllo</w:t>
      </w:r>
      <w:r w:rsidR="00753904">
        <w:rPr>
          <w:rFonts w:eastAsia="Times New Roman"/>
          <w:spacing w:val="2"/>
          <w:kern w:val="1"/>
          <w:szCs w:val="20"/>
          <w:lang w:eastAsia="ar-SA"/>
        </w:rPr>
        <w:t>;</w:t>
      </w:r>
    </w:p>
    <w:p w14:paraId="74B1AAC3" w14:textId="1F21E131" w:rsidR="00563779" w:rsidRDefault="00753904" w:rsidP="00563779">
      <w:pPr>
        <w:pStyle w:val="Paragrafoelenco"/>
        <w:numPr>
          <w:ilvl w:val="0"/>
          <w:numId w:val="9"/>
        </w:numPr>
        <w:suppressAutoHyphens/>
        <w:spacing w:after="0" w:line="360" w:lineRule="auto"/>
        <w:textAlignment w:val="baseline"/>
        <w:rPr>
          <w:rFonts w:eastAsia="Times New Roman"/>
          <w:spacing w:val="2"/>
          <w:kern w:val="1"/>
          <w:szCs w:val="20"/>
          <w:lang w:eastAsia="ar-SA"/>
        </w:rPr>
      </w:pPr>
      <w:r w:rsidRPr="00832936">
        <w:rPr>
          <w:rFonts w:eastAsia="Times New Roman"/>
          <w:spacing w:val="2"/>
          <w:kern w:val="1"/>
          <w:szCs w:val="20"/>
          <w:u w:val="single"/>
          <w:lang w:eastAsia="ar-SA"/>
        </w:rPr>
        <w:t>il carattere necessariamente oneroso del rapporto di lavoro subordinato</w:t>
      </w:r>
      <w:r w:rsidR="00A0117C">
        <w:rPr>
          <w:rFonts w:eastAsia="Times New Roman"/>
          <w:spacing w:val="2"/>
          <w:kern w:val="1"/>
          <w:szCs w:val="20"/>
          <w:lang w:eastAsia="ar-SA"/>
        </w:rPr>
        <w:t xml:space="preserve">. Poiché con l’incarico ex art. 90 TUEL si instaura un </w:t>
      </w:r>
      <w:r w:rsidR="00EC56A5">
        <w:rPr>
          <w:rFonts w:eastAsia="Times New Roman"/>
          <w:spacing w:val="2"/>
          <w:kern w:val="1"/>
          <w:szCs w:val="20"/>
          <w:lang w:eastAsia="ar-SA"/>
        </w:rPr>
        <w:t xml:space="preserve">rapporto di lavoro subordinato, anche se a tempo determinato, è da escludere la possibilità di corrispondere al personale dell’ufficio di staff il mero rimborso delle spese sostenute e debitamente documentate nell’esercizio dell’attività lavorativa, con esclusione di qualsiasi compenso o retribuzione dell’attività svolta in quanto incompatibile con il dettato normativo del comma 2 dell’art. 90 in parola. Tale disposizione, inoltre, </w:t>
      </w:r>
      <w:r w:rsidR="00197F69">
        <w:rPr>
          <w:rFonts w:eastAsia="Times New Roman"/>
          <w:spacing w:val="2"/>
          <w:kern w:val="1"/>
          <w:szCs w:val="20"/>
          <w:lang w:eastAsia="ar-SA"/>
        </w:rPr>
        <w:t>“</w:t>
      </w:r>
      <w:r w:rsidR="00EC56A5" w:rsidRPr="00197F69">
        <w:rPr>
          <w:rFonts w:eastAsia="Times New Roman"/>
          <w:i/>
          <w:spacing w:val="2"/>
          <w:kern w:val="1"/>
          <w:szCs w:val="20"/>
          <w:lang w:eastAsia="ar-SA"/>
        </w:rPr>
        <w:t>non è suscettibile di essere derogata dal regolamento comunale sull’ordinamento degli uffici e servizi, trattandosi di norma imperativa posta a tutela del lavoratore, al quale viene garantito un trattamento economico equivalente a quello disciplinato dalla contrattazione collettiva nazionale del personale degli enti locali</w:t>
      </w:r>
      <w:r w:rsidR="00197F69" w:rsidRPr="00197F69">
        <w:rPr>
          <w:rFonts w:eastAsia="Times New Roman"/>
          <w:i/>
          <w:spacing w:val="2"/>
          <w:kern w:val="1"/>
          <w:szCs w:val="20"/>
          <w:lang w:eastAsia="ar-SA"/>
        </w:rPr>
        <w:t>, alla quale si fa</w:t>
      </w:r>
      <w:r w:rsidR="00197F69">
        <w:rPr>
          <w:rFonts w:eastAsia="Times New Roman"/>
          <w:spacing w:val="2"/>
          <w:kern w:val="1"/>
          <w:szCs w:val="20"/>
          <w:lang w:eastAsia="ar-SA"/>
        </w:rPr>
        <w:t xml:space="preserve"> </w:t>
      </w:r>
      <w:r w:rsidR="00197F69" w:rsidRPr="00197F69">
        <w:rPr>
          <w:rFonts w:eastAsia="Times New Roman"/>
          <w:i/>
          <w:spacing w:val="2"/>
          <w:kern w:val="1"/>
          <w:szCs w:val="20"/>
          <w:lang w:eastAsia="ar-SA"/>
        </w:rPr>
        <w:t>espresso rinvio</w:t>
      </w:r>
      <w:r w:rsidR="00197F69">
        <w:rPr>
          <w:rFonts w:eastAsia="Times New Roman"/>
          <w:spacing w:val="2"/>
          <w:kern w:val="1"/>
          <w:szCs w:val="20"/>
          <w:lang w:eastAsia="ar-SA"/>
        </w:rPr>
        <w:t>” (SRC Calabria, deliberazione n. 395/2010/PAR).</w:t>
      </w:r>
      <w:r w:rsidR="00D42B47">
        <w:rPr>
          <w:rFonts w:eastAsia="Times New Roman"/>
          <w:spacing w:val="2"/>
          <w:kern w:val="1"/>
          <w:szCs w:val="20"/>
          <w:lang w:eastAsia="ar-SA"/>
        </w:rPr>
        <w:t xml:space="preserve"> Si è ritenuto</w:t>
      </w:r>
      <w:r w:rsidR="00946B42">
        <w:rPr>
          <w:rFonts w:eastAsia="Times New Roman"/>
          <w:spacing w:val="2"/>
          <w:kern w:val="1"/>
          <w:szCs w:val="20"/>
          <w:lang w:eastAsia="ar-SA"/>
        </w:rPr>
        <w:t>, quindi,</w:t>
      </w:r>
      <w:r w:rsidR="00D42B47">
        <w:rPr>
          <w:rFonts w:eastAsia="Times New Roman"/>
          <w:spacing w:val="2"/>
          <w:kern w:val="1"/>
          <w:szCs w:val="20"/>
          <w:lang w:eastAsia="ar-SA"/>
        </w:rPr>
        <w:t xml:space="preserve"> che la norma non ammetta forme di collaborazione al di fuori</w:t>
      </w:r>
      <w:r w:rsidR="00437162">
        <w:rPr>
          <w:rFonts w:eastAsia="Times New Roman"/>
          <w:spacing w:val="2"/>
          <w:kern w:val="1"/>
          <w:szCs w:val="20"/>
          <w:lang w:eastAsia="ar-SA"/>
        </w:rPr>
        <w:t xml:space="preserve"> del lavoro subordinato oneroso, in ragione dell’esigenza di tutelare altri principi, come la dignità del lavoro, nonché al fine di evitare l’esposizione dell’ente a rischi legali e di contenzioso. Il rapporto di lavoro subordinato, infatti, per la sua struttura causale e tipica, riveste un carattere necessariamente oneroso in aderenza al dettato dell’art. </w:t>
      </w:r>
      <w:r w:rsidR="00437162">
        <w:rPr>
          <w:rFonts w:eastAsia="Times New Roman"/>
          <w:spacing w:val="2"/>
          <w:kern w:val="1"/>
          <w:szCs w:val="20"/>
          <w:lang w:eastAsia="ar-SA"/>
        </w:rPr>
        <w:lastRenderedPageBreak/>
        <w:t>36 della Costituzione, che prevede il diritto del lavoratore ad una retribuzione proporzionata alla qualità e quantità del suo lavoro e, comunque, sufficiente ad assicurare un’esistenza libera e dignitosa a sé e alla sua famiglia. “</w:t>
      </w:r>
      <w:r w:rsidR="00437162">
        <w:rPr>
          <w:rFonts w:eastAsia="Times New Roman"/>
          <w:i/>
          <w:spacing w:val="2"/>
          <w:kern w:val="1"/>
          <w:szCs w:val="20"/>
          <w:lang w:eastAsia="ar-SA"/>
        </w:rPr>
        <w:t xml:space="preserve">In definitiva, il rapporto dei soggetti di cui all’art. 90 TUEL non può che essere di tipo oneroso e comunque inquadrabile in uno degli schemi giuridici previsti dal codice civile </w:t>
      </w:r>
      <w:r w:rsidR="000B6A26">
        <w:rPr>
          <w:rFonts w:eastAsia="Times New Roman"/>
          <w:i/>
          <w:spacing w:val="2"/>
          <w:kern w:val="1"/>
          <w:szCs w:val="20"/>
          <w:lang w:eastAsia="ar-SA"/>
        </w:rPr>
        <w:t xml:space="preserve">e dalle leggi speciali in materia di lavoro, anche in ragione del fatto che l’inserimento di un soggetto nell’organizzazione pubblica, per quanto in strutture di staff, non può non comportare la soggezione al potere di controllo e di indirizzo necessario alla realizzazione delle finalità istituzionali, con le conseguenze di legge che si ricollegano all’istaurazione di un “rapporto di servizio”” </w:t>
      </w:r>
      <w:r w:rsidR="000B6A26">
        <w:rPr>
          <w:rFonts w:eastAsia="Times New Roman"/>
          <w:spacing w:val="2"/>
          <w:kern w:val="1"/>
          <w:szCs w:val="20"/>
          <w:lang w:eastAsia="ar-SA"/>
        </w:rPr>
        <w:t>(SRC Campania, deliberazione n. 213/2015/PAR).</w:t>
      </w:r>
      <w:r w:rsidR="00437162">
        <w:rPr>
          <w:rFonts w:eastAsia="Times New Roman"/>
          <w:spacing w:val="2"/>
          <w:kern w:val="1"/>
          <w:szCs w:val="20"/>
          <w:lang w:eastAsia="ar-SA"/>
        </w:rPr>
        <w:t xml:space="preserve"> </w:t>
      </w:r>
    </w:p>
    <w:p w14:paraId="5E688054" w14:textId="3D581D65" w:rsidR="00563779" w:rsidRDefault="00563779" w:rsidP="00563779">
      <w:pPr>
        <w:suppressAutoHyphens/>
        <w:spacing w:after="0" w:line="360" w:lineRule="auto"/>
        <w:ind w:left="710" w:firstLine="0"/>
        <w:textAlignment w:val="baseline"/>
        <w:rPr>
          <w:rFonts w:eastAsia="Times New Roman"/>
          <w:spacing w:val="2"/>
          <w:kern w:val="1"/>
          <w:szCs w:val="20"/>
          <w:lang w:eastAsia="ar-SA"/>
        </w:rPr>
      </w:pPr>
    </w:p>
    <w:p w14:paraId="786C7AF6" w14:textId="77777777" w:rsidR="005D4FE8" w:rsidRPr="00563779" w:rsidRDefault="005D4FE8" w:rsidP="00563779">
      <w:pPr>
        <w:suppressAutoHyphens/>
        <w:spacing w:after="0" w:line="360" w:lineRule="auto"/>
        <w:ind w:left="710" w:firstLine="0"/>
        <w:textAlignment w:val="baseline"/>
        <w:rPr>
          <w:rFonts w:eastAsia="Times New Roman"/>
          <w:spacing w:val="2"/>
          <w:kern w:val="1"/>
          <w:szCs w:val="20"/>
          <w:lang w:eastAsia="ar-SA"/>
        </w:rPr>
      </w:pPr>
    </w:p>
    <w:p w14:paraId="55FBA034" w14:textId="6A973996" w:rsidR="005A191E" w:rsidRDefault="009301FF" w:rsidP="008A2F9B">
      <w:pPr>
        <w:pStyle w:val="Paragrafoelenco"/>
        <w:suppressAutoHyphens/>
        <w:spacing w:after="0" w:line="360" w:lineRule="auto"/>
        <w:ind w:left="567" w:firstLine="709"/>
        <w:textAlignment w:val="baseline"/>
        <w:rPr>
          <w:rFonts w:eastAsia="Times New Roman"/>
          <w:spacing w:val="2"/>
          <w:kern w:val="1"/>
          <w:szCs w:val="20"/>
          <w:lang w:eastAsia="ar-SA"/>
        </w:rPr>
      </w:pPr>
      <w:r w:rsidRPr="00563779">
        <w:rPr>
          <w:rFonts w:eastAsia="Times New Roman"/>
          <w:b/>
          <w:spacing w:val="2"/>
          <w:kern w:val="1"/>
          <w:szCs w:val="20"/>
          <w:lang w:eastAsia="ar-SA"/>
        </w:rPr>
        <w:t>3.</w:t>
      </w:r>
      <w:r w:rsidR="00197F69" w:rsidRPr="00563779">
        <w:rPr>
          <w:rFonts w:eastAsia="Times New Roman"/>
          <w:b/>
          <w:spacing w:val="2"/>
          <w:kern w:val="1"/>
          <w:szCs w:val="20"/>
          <w:lang w:eastAsia="ar-SA"/>
        </w:rPr>
        <w:t>2</w:t>
      </w:r>
      <w:r w:rsidRPr="00563779">
        <w:rPr>
          <w:rFonts w:eastAsia="Times New Roman"/>
          <w:b/>
          <w:spacing w:val="2"/>
          <w:kern w:val="1"/>
          <w:szCs w:val="20"/>
          <w:lang w:eastAsia="ar-SA"/>
        </w:rPr>
        <w:t xml:space="preserve"> </w:t>
      </w:r>
      <w:r w:rsidR="006412A8">
        <w:rPr>
          <w:rFonts w:eastAsia="Times New Roman"/>
          <w:b/>
          <w:spacing w:val="2"/>
          <w:kern w:val="1"/>
          <w:szCs w:val="20"/>
          <w:lang w:eastAsia="ar-SA"/>
        </w:rPr>
        <w:t xml:space="preserve"> </w:t>
      </w:r>
      <w:r w:rsidR="00563779">
        <w:rPr>
          <w:rFonts w:eastAsia="Times New Roman"/>
          <w:spacing w:val="2"/>
          <w:kern w:val="1"/>
          <w:szCs w:val="20"/>
          <w:lang w:eastAsia="ar-SA"/>
        </w:rPr>
        <w:t>L’art. 5, comma 9</w:t>
      </w:r>
      <w:r w:rsidR="006E3F8B">
        <w:rPr>
          <w:rFonts w:eastAsia="Times New Roman"/>
          <w:spacing w:val="2"/>
          <w:kern w:val="1"/>
          <w:szCs w:val="20"/>
          <w:lang w:eastAsia="ar-SA"/>
        </w:rPr>
        <w:t>,</w:t>
      </w:r>
      <w:r w:rsidR="00563779">
        <w:rPr>
          <w:rFonts w:eastAsia="Times New Roman"/>
          <w:spacing w:val="2"/>
          <w:kern w:val="1"/>
          <w:szCs w:val="20"/>
          <w:lang w:eastAsia="ar-SA"/>
        </w:rPr>
        <w:t xml:space="preserve"> del D.L. n. 95/2012, convertito, con </w:t>
      </w:r>
      <w:r w:rsidR="003B2F1B">
        <w:rPr>
          <w:rFonts w:eastAsia="Times New Roman"/>
          <w:spacing w:val="2"/>
          <w:kern w:val="1"/>
          <w:szCs w:val="20"/>
          <w:lang w:eastAsia="ar-SA"/>
        </w:rPr>
        <w:t>modificazioni, dalla</w:t>
      </w:r>
      <w:r w:rsidR="00563779">
        <w:rPr>
          <w:rFonts w:eastAsia="Times New Roman"/>
          <w:spacing w:val="2"/>
          <w:kern w:val="1"/>
          <w:szCs w:val="20"/>
          <w:lang w:eastAsia="ar-SA"/>
        </w:rPr>
        <w:t xml:space="preserve"> L. n. 135/2012, successivamente modificato dall’art. 6 del D.L. n. 90/2014, convertito, con modific</w:t>
      </w:r>
      <w:r w:rsidR="003B2F1B">
        <w:rPr>
          <w:rFonts w:eastAsia="Times New Roman"/>
          <w:spacing w:val="2"/>
          <w:kern w:val="1"/>
          <w:szCs w:val="20"/>
          <w:lang w:eastAsia="ar-SA"/>
        </w:rPr>
        <w:t>azioni, dalla</w:t>
      </w:r>
      <w:r w:rsidR="00563779">
        <w:rPr>
          <w:rFonts w:eastAsia="Times New Roman"/>
          <w:spacing w:val="2"/>
          <w:kern w:val="1"/>
          <w:szCs w:val="20"/>
          <w:lang w:eastAsia="ar-SA"/>
        </w:rPr>
        <w:t xml:space="preserve"> L. n. 114/2014 e, infine, ulteriormente modificato dall’ art. 17, comma 3, della L. n. 124/2015</w:t>
      </w:r>
      <w:r w:rsidR="0086551B">
        <w:rPr>
          <w:rFonts w:eastAsia="Times New Roman"/>
          <w:spacing w:val="2"/>
          <w:kern w:val="1"/>
          <w:szCs w:val="20"/>
          <w:lang w:eastAsia="ar-SA"/>
        </w:rPr>
        <w:t xml:space="preserve"> stabilisce che “</w:t>
      </w:r>
      <w:r w:rsidR="0086551B">
        <w:rPr>
          <w:rFonts w:eastAsia="Times New Roman"/>
          <w:i/>
          <w:spacing w:val="2"/>
          <w:kern w:val="1"/>
          <w:szCs w:val="20"/>
          <w:lang w:eastAsia="ar-SA"/>
        </w:rPr>
        <w:t xml:space="preserve">E’ fatto divieto alle pubbliche amministrazioni di cui all’art. 1, comma del decreto legislativo n. 165 del 2001, nonché alle pubbliche amministrazioni inserite nel conto economico consolidato della pubblica amministrazione, come individuate dall’Istituto nazionale di statistica (ISTAT)  ai sensi dell’articolo 1, comma 2, della legge 31 dicembre 2009, n. 196 nonché alle autorità indipendenti ivi inclusa la Commissione nazionale per le società e la borsa (Consob)  di attribuire incarichi di studio e di consulenza a soggetti già lavoratori privati o pubblici collocati in quiescenza. Alle suddette amministrazioni è, altresì, fatto divieto di conferire ai medesimi soggetti incarichi dirigenziali o direttivi o cariche in organi di governo delle amministrazioni di cui al primo periodo e degli enti e </w:t>
      </w:r>
      <w:r w:rsidR="003B2F1B">
        <w:rPr>
          <w:rFonts w:eastAsia="Times New Roman"/>
          <w:i/>
          <w:spacing w:val="2"/>
          <w:kern w:val="1"/>
          <w:szCs w:val="20"/>
          <w:lang w:eastAsia="ar-SA"/>
        </w:rPr>
        <w:t>società da esse controllati, ad eccezione di componenti delle giunte degli enti territoriali e dei componenti o titolari degli organi elettivi degli enti di cui all’articolo 2, comma 2-bis, del decreto-legge 31 agosto 2013, n. 101, convertito, con modificazioni, dalla legge 30 ottobre 2013, n. 125. Gli incarichi, le cariche e le collaborazioni di cui ai periodi precedenti sono comunque consentiti a titolo gratuito. Per i soli incarichi dirigenziali e direttivi, ferma restando la gratuità, la durata non può essere superiore a un anno, non prorogabile né rinnovabile, presso ciascuna amministrazione. Devono essere rendicontati eventuali rimborsi di spese, corrisposti nei limiti fissati dall’organo competente dell’amministrazione interessata. Gli organi costituzionali si adeguano alle disposizioni del presente comma nell’ambito della propria autonomia.</w:t>
      </w:r>
      <w:r w:rsidR="003B2F1B">
        <w:rPr>
          <w:rFonts w:eastAsia="Times New Roman"/>
          <w:spacing w:val="2"/>
          <w:kern w:val="1"/>
          <w:szCs w:val="20"/>
          <w:lang w:eastAsia="ar-SA"/>
        </w:rPr>
        <w:t>”.</w:t>
      </w:r>
      <w:r w:rsidR="005A191E">
        <w:rPr>
          <w:rFonts w:eastAsia="Times New Roman"/>
          <w:spacing w:val="2"/>
          <w:kern w:val="1"/>
          <w:szCs w:val="20"/>
          <w:lang w:eastAsia="ar-SA"/>
        </w:rPr>
        <w:t xml:space="preserve"> </w:t>
      </w:r>
    </w:p>
    <w:p w14:paraId="425893B1" w14:textId="77777777" w:rsidR="00946B42" w:rsidRDefault="005A191E" w:rsidP="005A191E">
      <w:pPr>
        <w:pStyle w:val="Paragrafoelenco"/>
        <w:suppressAutoHyphens/>
        <w:spacing w:after="0" w:line="360" w:lineRule="auto"/>
        <w:ind w:left="567" w:firstLine="0"/>
        <w:textAlignment w:val="baseline"/>
        <w:rPr>
          <w:rFonts w:eastAsia="Times New Roman"/>
          <w:spacing w:val="2"/>
          <w:kern w:val="1"/>
          <w:szCs w:val="20"/>
          <w:lang w:eastAsia="ar-SA"/>
        </w:rPr>
      </w:pPr>
      <w:r>
        <w:rPr>
          <w:rFonts w:eastAsia="Times New Roman"/>
          <w:b/>
          <w:spacing w:val="2"/>
          <w:kern w:val="1"/>
          <w:szCs w:val="20"/>
          <w:lang w:eastAsia="ar-SA"/>
        </w:rPr>
        <w:t xml:space="preserve">       </w:t>
      </w:r>
      <w:r w:rsidR="005D4FE8" w:rsidRPr="005A191E">
        <w:rPr>
          <w:rFonts w:eastAsia="Times New Roman"/>
          <w:spacing w:val="2"/>
          <w:kern w:val="1"/>
          <w:szCs w:val="20"/>
          <w:lang w:eastAsia="ar-SA"/>
        </w:rPr>
        <w:t>In attuazione di detta disposizione il Ministro per la semplificazione e la pubblica amministrazione</w:t>
      </w:r>
      <w:r w:rsidR="00BD751A">
        <w:rPr>
          <w:rFonts w:eastAsia="Times New Roman"/>
          <w:spacing w:val="2"/>
          <w:kern w:val="1"/>
          <w:szCs w:val="20"/>
          <w:lang w:eastAsia="ar-SA"/>
        </w:rPr>
        <w:t xml:space="preserve"> </w:t>
      </w:r>
      <w:r w:rsidR="00BD751A" w:rsidRPr="00770EAD">
        <w:rPr>
          <w:rFonts w:eastAsia="Times New Roman"/>
          <w:spacing w:val="2"/>
          <w:kern w:val="1"/>
          <w:szCs w:val="20"/>
          <w:lang w:eastAsia="ar-SA"/>
        </w:rPr>
        <w:t>ha emanato</w:t>
      </w:r>
      <w:r>
        <w:rPr>
          <w:rFonts w:eastAsia="Times New Roman"/>
          <w:spacing w:val="2"/>
          <w:kern w:val="1"/>
          <w:szCs w:val="20"/>
          <w:lang w:eastAsia="ar-SA"/>
        </w:rPr>
        <w:t xml:space="preserve"> la circolare 4 dicembre 2014, n. 6 e la circolare 10 novembre 2015, n.4. </w:t>
      </w:r>
    </w:p>
    <w:p w14:paraId="4B70AF7A" w14:textId="32ADD9C3" w:rsidR="00155BCD" w:rsidRDefault="006E3F8B" w:rsidP="005A191E">
      <w:pPr>
        <w:pStyle w:val="Paragrafoelenco"/>
        <w:suppressAutoHyphens/>
        <w:spacing w:after="0" w:line="360" w:lineRule="auto"/>
        <w:ind w:left="567" w:firstLine="0"/>
        <w:textAlignment w:val="baseline"/>
        <w:rPr>
          <w:rFonts w:eastAsia="Times New Roman"/>
          <w:spacing w:val="2"/>
          <w:kern w:val="1"/>
          <w:szCs w:val="20"/>
          <w:lang w:eastAsia="ar-SA"/>
        </w:rPr>
      </w:pPr>
      <w:r>
        <w:rPr>
          <w:rFonts w:eastAsia="Times New Roman"/>
          <w:spacing w:val="2"/>
          <w:kern w:val="1"/>
          <w:szCs w:val="20"/>
          <w:lang w:eastAsia="ar-SA"/>
        </w:rPr>
        <w:lastRenderedPageBreak/>
        <w:t xml:space="preserve">       </w:t>
      </w:r>
      <w:r w:rsidR="00946B42">
        <w:rPr>
          <w:rFonts w:eastAsia="Times New Roman"/>
          <w:spacing w:val="2"/>
          <w:kern w:val="1"/>
          <w:szCs w:val="20"/>
          <w:lang w:eastAsia="ar-SA"/>
        </w:rPr>
        <w:t>A tale riguardo, l</w:t>
      </w:r>
      <w:r w:rsidR="005A191E">
        <w:rPr>
          <w:rFonts w:eastAsia="Times New Roman"/>
          <w:spacing w:val="2"/>
          <w:kern w:val="1"/>
          <w:szCs w:val="20"/>
          <w:lang w:eastAsia="ar-SA"/>
        </w:rPr>
        <w:t>a circolare n. 6/2014</w:t>
      </w:r>
      <w:r w:rsidR="00A402D9">
        <w:rPr>
          <w:rFonts w:eastAsia="Times New Roman"/>
          <w:spacing w:val="2"/>
          <w:kern w:val="1"/>
          <w:szCs w:val="20"/>
          <w:lang w:eastAsia="ar-SA"/>
        </w:rPr>
        <w:t xml:space="preserve"> specifica chiaramente che “</w:t>
      </w:r>
      <w:r w:rsidR="00A402D9" w:rsidRPr="00A402D9">
        <w:rPr>
          <w:rFonts w:eastAsia="Times New Roman"/>
          <w:i/>
          <w:spacing w:val="2"/>
          <w:kern w:val="1"/>
          <w:szCs w:val="20"/>
          <w:lang w:eastAsia="ar-SA"/>
        </w:rPr>
        <w:t>la disciplina in esame pone puntuali norme di divieto, per le quali vale il criterio di stretta interpretazione ed è esclusa l’interpretazione estensiva o analogica</w:t>
      </w:r>
      <w:r w:rsidR="005A191E" w:rsidRPr="00A402D9">
        <w:rPr>
          <w:rFonts w:eastAsia="Times New Roman"/>
          <w:i/>
          <w:spacing w:val="2"/>
          <w:kern w:val="1"/>
          <w:szCs w:val="20"/>
          <w:lang w:eastAsia="ar-SA"/>
        </w:rPr>
        <w:t xml:space="preserve"> </w:t>
      </w:r>
      <w:r w:rsidR="00A402D9" w:rsidRPr="00A402D9">
        <w:rPr>
          <w:rFonts w:eastAsia="Times New Roman"/>
          <w:i/>
          <w:spacing w:val="2"/>
          <w:kern w:val="1"/>
          <w:szCs w:val="20"/>
          <w:lang w:eastAsia="ar-SA"/>
        </w:rPr>
        <w:t>(come chiarito dalla Cort</w:t>
      </w:r>
      <w:r w:rsidR="00A402D9">
        <w:rPr>
          <w:rFonts w:eastAsia="Times New Roman"/>
          <w:i/>
          <w:spacing w:val="2"/>
          <w:kern w:val="1"/>
          <w:szCs w:val="20"/>
          <w:lang w:eastAsia="ar-SA"/>
        </w:rPr>
        <w:t>e dei conti, Sezione centrale di</w:t>
      </w:r>
      <w:r w:rsidR="00A402D9" w:rsidRPr="00A402D9">
        <w:rPr>
          <w:rFonts w:eastAsia="Times New Roman"/>
          <w:i/>
          <w:spacing w:val="2"/>
          <w:kern w:val="1"/>
          <w:szCs w:val="20"/>
          <w:lang w:eastAsia="ar-SA"/>
        </w:rPr>
        <w:t xml:space="preserve"> controllo di legittimità</w:t>
      </w:r>
      <w:r w:rsidR="00A402D9">
        <w:rPr>
          <w:rFonts w:eastAsia="Times New Roman"/>
          <w:i/>
          <w:spacing w:val="2"/>
          <w:kern w:val="1"/>
          <w:szCs w:val="20"/>
          <w:lang w:eastAsia="ar-SA"/>
        </w:rPr>
        <w:t xml:space="preserve"> sugli atti del Governo e delle amministrazioni dello Stat</w:t>
      </w:r>
      <w:r w:rsidR="009B25A4">
        <w:rPr>
          <w:rFonts w:eastAsia="Times New Roman"/>
          <w:i/>
          <w:spacing w:val="2"/>
          <w:kern w:val="1"/>
          <w:szCs w:val="20"/>
          <w:lang w:eastAsia="ar-SA"/>
        </w:rPr>
        <w:t>o, deliberazione n. 23/2014/PREV</w:t>
      </w:r>
      <w:r w:rsidR="00AF351A">
        <w:rPr>
          <w:rFonts w:eastAsia="Times New Roman"/>
          <w:i/>
          <w:spacing w:val="2"/>
          <w:kern w:val="1"/>
          <w:szCs w:val="20"/>
          <w:lang w:eastAsia="ar-SA"/>
        </w:rPr>
        <w:t xml:space="preserve"> del 3</w:t>
      </w:r>
      <w:r w:rsidR="00A402D9">
        <w:rPr>
          <w:rFonts w:eastAsia="Times New Roman"/>
          <w:i/>
          <w:spacing w:val="2"/>
          <w:kern w:val="1"/>
          <w:szCs w:val="20"/>
          <w:lang w:eastAsia="ar-SA"/>
        </w:rPr>
        <w:t>0 settembre 2014</w:t>
      </w:r>
      <w:r w:rsidR="00E908E7">
        <w:rPr>
          <w:rStyle w:val="Rimandonotaapidipagina"/>
          <w:rFonts w:eastAsia="Times New Roman"/>
          <w:i/>
          <w:spacing w:val="2"/>
          <w:kern w:val="1"/>
          <w:szCs w:val="20"/>
          <w:lang w:eastAsia="ar-SA"/>
        </w:rPr>
        <w:footnoteReference w:id="1"/>
      </w:r>
      <w:r w:rsidR="00AF351A">
        <w:rPr>
          <w:rFonts w:eastAsia="Times New Roman"/>
          <w:i/>
          <w:spacing w:val="2"/>
          <w:kern w:val="1"/>
          <w:szCs w:val="20"/>
          <w:lang w:eastAsia="ar-SA"/>
        </w:rPr>
        <w:t>).</w:t>
      </w:r>
      <w:r w:rsidR="009C5BC0">
        <w:rPr>
          <w:rFonts w:eastAsia="Times New Roman"/>
          <w:i/>
          <w:spacing w:val="2"/>
          <w:kern w:val="1"/>
          <w:szCs w:val="20"/>
          <w:lang w:eastAsia="ar-SA"/>
        </w:rPr>
        <w:t xml:space="preserve"> Incarichi vietati, dunque, sono solo quelli espressamente contemplati: incarichi di studio e di consulenza, incarichi dirigenziali o direttivi</w:t>
      </w:r>
      <w:r w:rsidR="00940B92">
        <w:rPr>
          <w:rFonts w:eastAsia="Times New Roman"/>
          <w:i/>
          <w:spacing w:val="2"/>
          <w:kern w:val="1"/>
          <w:szCs w:val="20"/>
          <w:lang w:eastAsia="ar-SA"/>
        </w:rPr>
        <w:t>, cariche di governo nelle amministrazioni e negli enti e società controllati.</w:t>
      </w:r>
      <w:r w:rsidR="003856A0">
        <w:rPr>
          <w:rFonts w:eastAsia="Times New Roman"/>
          <w:i/>
          <w:spacing w:val="2"/>
          <w:kern w:val="1"/>
          <w:szCs w:val="20"/>
          <w:lang w:eastAsia="ar-SA"/>
        </w:rPr>
        <w:t xml:space="preserve"> Un’interpretazione</w:t>
      </w:r>
      <w:r w:rsidR="00946B42">
        <w:rPr>
          <w:rFonts w:eastAsia="Times New Roman"/>
          <w:i/>
          <w:spacing w:val="2"/>
          <w:kern w:val="1"/>
          <w:szCs w:val="20"/>
          <w:lang w:eastAsia="ar-SA"/>
        </w:rPr>
        <w:t xml:space="preserve"> estensiva dei divieti in esame…</w:t>
      </w:r>
      <w:r w:rsidR="003856A0">
        <w:rPr>
          <w:rFonts w:eastAsia="Times New Roman"/>
          <w:i/>
          <w:spacing w:val="2"/>
          <w:kern w:val="1"/>
          <w:szCs w:val="20"/>
          <w:lang w:eastAsia="ar-SA"/>
        </w:rPr>
        <w:t>potrebbe determinare un’irragionevole compressione dei diritti dei soggetti in quiescenza, in violazione dei principi enunciati dalla giurisprudenza costituzionale</w:t>
      </w:r>
      <w:r w:rsidR="00940B92">
        <w:rPr>
          <w:rFonts w:eastAsia="Times New Roman"/>
          <w:spacing w:val="2"/>
          <w:kern w:val="1"/>
          <w:szCs w:val="20"/>
          <w:lang w:eastAsia="ar-SA"/>
        </w:rPr>
        <w:t>”.</w:t>
      </w:r>
      <w:r w:rsidR="00FB0E56">
        <w:rPr>
          <w:rFonts w:eastAsia="Times New Roman"/>
          <w:spacing w:val="2"/>
          <w:kern w:val="1"/>
          <w:szCs w:val="20"/>
          <w:lang w:eastAsia="ar-SA"/>
        </w:rPr>
        <w:t xml:space="preserve"> La predetta circolare </w:t>
      </w:r>
      <w:r w:rsidR="00352D25">
        <w:rPr>
          <w:rFonts w:eastAsia="Times New Roman"/>
          <w:spacing w:val="2"/>
          <w:kern w:val="1"/>
          <w:szCs w:val="20"/>
          <w:lang w:eastAsia="ar-SA"/>
        </w:rPr>
        <w:t xml:space="preserve">ha altresì specificato che, ai fini dell’applicazione dei divieti, occorre prescindere dalla natura giuridica del rapporto, dovendosi invece considerare l’oggetto dell’incarico. </w:t>
      </w:r>
      <w:r w:rsidR="00C91F5D">
        <w:rPr>
          <w:rFonts w:eastAsia="Times New Roman"/>
          <w:spacing w:val="2"/>
          <w:kern w:val="1"/>
          <w:szCs w:val="20"/>
          <w:lang w:eastAsia="ar-SA"/>
        </w:rPr>
        <w:t>Inoltre</w:t>
      </w:r>
      <w:r w:rsidR="00155BCD">
        <w:rPr>
          <w:rFonts w:eastAsia="Times New Roman"/>
          <w:spacing w:val="2"/>
          <w:kern w:val="1"/>
          <w:szCs w:val="20"/>
          <w:lang w:eastAsia="ar-SA"/>
        </w:rPr>
        <w:t>,</w:t>
      </w:r>
      <w:r w:rsidR="00C91F5D">
        <w:rPr>
          <w:rFonts w:eastAsia="Times New Roman"/>
          <w:spacing w:val="2"/>
          <w:kern w:val="1"/>
          <w:szCs w:val="20"/>
          <w:lang w:eastAsia="ar-SA"/>
        </w:rPr>
        <w:t xml:space="preserve"> la circolare </w:t>
      </w:r>
      <w:r w:rsidR="00155BCD">
        <w:rPr>
          <w:rFonts w:eastAsia="Times New Roman"/>
          <w:spacing w:val="2"/>
          <w:kern w:val="1"/>
          <w:szCs w:val="20"/>
          <w:lang w:eastAsia="ar-SA"/>
        </w:rPr>
        <w:t>precisa che “</w:t>
      </w:r>
      <w:r w:rsidR="00155BCD">
        <w:rPr>
          <w:rFonts w:eastAsia="Times New Roman"/>
          <w:i/>
          <w:spacing w:val="2"/>
          <w:kern w:val="1"/>
          <w:szCs w:val="20"/>
          <w:lang w:eastAsia="ar-SA"/>
        </w:rPr>
        <w:t>in assenza di esclusioni al riguardo, devono ritenersi rientranti nel divieto anche gli incarichi dirigenziali, direttivi, di studio o di consulenza nell’ambito degli uffici di diretta collaborazione degli organi politici”</w:t>
      </w:r>
      <w:r w:rsidR="00155BCD">
        <w:rPr>
          <w:rFonts w:eastAsia="Times New Roman"/>
          <w:spacing w:val="2"/>
          <w:kern w:val="1"/>
          <w:szCs w:val="20"/>
          <w:lang w:eastAsia="ar-SA"/>
        </w:rPr>
        <w:t xml:space="preserve">. </w:t>
      </w:r>
    </w:p>
    <w:p w14:paraId="21BB4E73" w14:textId="733F5576" w:rsidR="00FD19AE" w:rsidRDefault="00BD6BF4" w:rsidP="005A191E">
      <w:pPr>
        <w:pStyle w:val="Paragrafoelenco"/>
        <w:suppressAutoHyphens/>
        <w:spacing w:after="0" w:line="360" w:lineRule="auto"/>
        <w:ind w:left="567" w:firstLine="0"/>
        <w:textAlignment w:val="baseline"/>
        <w:rPr>
          <w:rFonts w:eastAsia="Times New Roman"/>
          <w:spacing w:val="2"/>
          <w:kern w:val="1"/>
          <w:szCs w:val="20"/>
          <w:lang w:eastAsia="ar-SA"/>
        </w:rPr>
      </w:pPr>
      <w:r>
        <w:rPr>
          <w:rFonts w:eastAsia="Times New Roman"/>
          <w:spacing w:val="2"/>
          <w:kern w:val="1"/>
          <w:szCs w:val="20"/>
          <w:lang w:eastAsia="ar-SA"/>
        </w:rPr>
        <w:t xml:space="preserve">          Le attività consentite</w:t>
      </w:r>
      <w:r w:rsidR="00946B42">
        <w:rPr>
          <w:rFonts w:eastAsia="Times New Roman"/>
          <w:spacing w:val="2"/>
          <w:kern w:val="1"/>
          <w:szCs w:val="20"/>
          <w:lang w:eastAsia="ar-SA"/>
        </w:rPr>
        <w:t>, quindi,</w:t>
      </w:r>
      <w:r>
        <w:rPr>
          <w:rFonts w:eastAsia="Times New Roman"/>
          <w:spacing w:val="2"/>
          <w:kern w:val="1"/>
          <w:szCs w:val="20"/>
          <w:lang w:eastAsia="ar-SA"/>
        </w:rPr>
        <w:t xml:space="preserve"> si ricavano </w:t>
      </w:r>
      <w:r w:rsidRPr="00BD6BF4">
        <w:rPr>
          <w:rFonts w:eastAsia="Times New Roman"/>
          <w:i/>
          <w:spacing w:val="2"/>
          <w:kern w:val="1"/>
          <w:szCs w:val="20"/>
          <w:lang w:eastAsia="ar-SA"/>
        </w:rPr>
        <w:t>a contrario</w:t>
      </w:r>
      <w:r w:rsidR="00946B42">
        <w:rPr>
          <w:rFonts w:eastAsia="Times New Roman"/>
          <w:spacing w:val="2"/>
          <w:kern w:val="1"/>
          <w:szCs w:val="20"/>
          <w:lang w:eastAsia="ar-SA"/>
        </w:rPr>
        <w:t>,</w:t>
      </w:r>
      <w:r>
        <w:rPr>
          <w:rFonts w:eastAsia="Times New Roman"/>
          <w:i/>
          <w:spacing w:val="2"/>
          <w:kern w:val="1"/>
          <w:szCs w:val="20"/>
          <w:lang w:eastAsia="ar-SA"/>
        </w:rPr>
        <w:t xml:space="preserve"> </w:t>
      </w:r>
      <w:r w:rsidR="00946B42">
        <w:rPr>
          <w:rFonts w:eastAsia="Times New Roman"/>
          <w:spacing w:val="2"/>
          <w:kern w:val="1"/>
          <w:szCs w:val="20"/>
          <w:lang w:eastAsia="ar-SA"/>
        </w:rPr>
        <w:t>dovendosi</w:t>
      </w:r>
      <w:r>
        <w:rPr>
          <w:rFonts w:eastAsia="Times New Roman"/>
          <w:spacing w:val="2"/>
          <w:kern w:val="1"/>
          <w:szCs w:val="20"/>
          <w:lang w:eastAsia="ar-SA"/>
        </w:rPr>
        <w:t xml:space="preserve"> le situazioni </w:t>
      </w:r>
      <w:r w:rsidR="00946B42">
        <w:rPr>
          <w:rFonts w:eastAsia="Times New Roman"/>
          <w:spacing w:val="2"/>
          <w:kern w:val="1"/>
          <w:szCs w:val="20"/>
          <w:lang w:eastAsia="ar-SA"/>
        </w:rPr>
        <w:t xml:space="preserve">diverse da quelle sopraelencate </w:t>
      </w:r>
      <w:r>
        <w:rPr>
          <w:rFonts w:eastAsia="Times New Roman"/>
          <w:spacing w:val="2"/>
          <w:kern w:val="1"/>
          <w:szCs w:val="20"/>
          <w:lang w:eastAsia="ar-SA"/>
        </w:rPr>
        <w:t xml:space="preserve">non </w:t>
      </w:r>
      <w:r w:rsidR="00946B42">
        <w:rPr>
          <w:rFonts w:eastAsia="Times New Roman"/>
          <w:spacing w:val="2"/>
          <w:kern w:val="1"/>
          <w:szCs w:val="20"/>
          <w:lang w:eastAsia="ar-SA"/>
        </w:rPr>
        <w:t xml:space="preserve">essere </w:t>
      </w:r>
      <w:r>
        <w:rPr>
          <w:rFonts w:eastAsia="Times New Roman"/>
          <w:spacing w:val="2"/>
          <w:kern w:val="1"/>
          <w:szCs w:val="20"/>
          <w:lang w:eastAsia="ar-SA"/>
        </w:rPr>
        <w:t>ri</w:t>
      </w:r>
      <w:r w:rsidR="00946B42">
        <w:rPr>
          <w:rFonts w:eastAsia="Times New Roman"/>
          <w:spacing w:val="2"/>
          <w:kern w:val="1"/>
          <w:szCs w:val="20"/>
          <w:lang w:eastAsia="ar-SA"/>
        </w:rPr>
        <w:t>comprese</w:t>
      </w:r>
      <w:r>
        <w:rPr>
          <w:rFonts w:eastAsia="Times New Roman"/>
          <w:spacing w:val="2"/>
          <w:kern w:val="1"/>
          <w:szCs w:val="20"/>
          <w:lang w:eastAsia="ar-SA"/>
        </w:rPr>
        <w:t xml:space="preserve"> nel divieto di legge</w:t>
      </w:r>
      <w:r w:rsidR="005F4114">
        <w:rPr>
          <w:rFonts w:eastAsia="Times New Roman"/>
          <w:spacing w:val="2"/>
          <w:kern w:val="1"/>
          <w:szCs w:val="20"/>
          <w:lang w:eastAsia="ar-SA"/>
        </w:rPr>
        <w:t xml:space="preserve">. La circolare suddetta ne elenca alcune a titolo esemplificativo. </w:t>
      </w:r>
    </w:p>
    <w:p w14:paraId="42A289F2" w14:textId="4395DEE3" w:rsidR="005F4114" w:rsidRDefault="00832926" w:rsidP="005A191E">
      <w:pPr>
        <w:pStyle w:val="Paragrafoelenco"/>
        <w:suppressAutoHyphens/>
        <w:spacing w:after="0" w:line="360" w:lineRule="auto"/>
        <w:ind w:left="567" w:firstLine="0"/>
        <w:textAlignment w:val="baseline"/>
        <w:rPr>
          <w:rFonts w:eastAsia="Times New Roman"/>
          <w:spacing w:val="2"/>
          <w:kern w:val="1"/>
          <w:szCs w:val="20"/>
          <w:lang w:eastAsia="ar-SA"/>
        </w:rPr>
      </w:pPr>
      <w:r>
        <w:rPr>
          <w:rFonts w:eastAsia="Times New Roman"/>
          <w:spacing w:val="2"/>
          <w:kern w:val="1"/>
          <w:szCs w:val="20"/>
          <w:lang w:eastAsia="ar-SA"/>
        </w:rPr>
        <w:t>Per individuare ulteriori casi in cui sia possibile concludere per l’ammissibilità di un incarico retribuito al lavorato</w:t>
      </w:r>
      <w:r w:rsidR="00946B42">
        <w:rPr>
          <w:rFonts w:eastAsia="Times New Roman"/>
          <w:spacing w:val="2"/>
          <w:kern w:val="1"/>
          <w:szCs w:val="20"/>
          <w:lang w:eastAsia="ar-SA"/>
        </w:rPr>
        <w:t>re in quiescenza deve</w:t>
      </w:r>
      <w:r>
        <w:rPr>
          <w:rFonts w:eastAsia="Times New Roman"/>
          <w:spacing w:val="2"/>
          <w:kern w:val="1"/>
          <w:szCs w:val="20"/>
          <w:lang w:eastAsia="ar-SA"/>
        </w:rPr>
        <w:t xml:space="preserve"> farsi riferimento alle ipotesi di incarico che, quanto al contenuto, si differenzino qualitativamente da quelle vietate. Se il divieto riguarda l’attività di studio e quella di consulenza, sembra potersi ritenere</w:t>
      </w:r>
      <w:r w:rsidR="00457935">
        <w:rPr>
          <w:rFonts w:eastAsia="Times New Roman"/>
          <w:spacing w:val="2"/>
          <w:kern w:val="1"/>
          <w:szCs w:val="20"/>
          <w:lang w:eastAsia="ar-SA"/>
        </w:rPr>
        <w:t xml:space="preserve"> consentita quella di assistenza, nei limiti in cui </w:t>
      </w:r>
      <w:r>
        <w:rPr>
          <w:rFonts w:eastAsia="Times New Roman"/>
          <w:spacing w:val="2"/>
          <w:kern w:val="1"/>
          <w:szCs w:val="20"/>
          <w:lang w:eastAsia="ar-SA"/>
        </w:rPr>
        <w:t>si diversifi</w:t>
      </w:r>
      <w:r w:rsidR="00314B5E">
        <w:rPr>
          <w:rFonts w:eastAsia="Times New Roman"/>
          <w:spacing w:val="2"/>
          <w:kern w:val="1"/>
          <w:szCs w:val="20"/>
          <w:lang w:eastAsia="ar-SA"/>
        </w:rPr>
        <w:t>ca dalle altre due: assistenza che non comporti studio e consulenza, ossia attività caratterizzata, in negativo, dalla mancanza di competenze specialistiche e che non rientri nelle ipotesi di contratto d’opera intellettuale di cui agli articoli 2229 e seguenti del Codice civile</w:t>
      </w:r>
      <w:r w:rsidR="00314B5E">
        <w:rPr>
          <w:rStyle w:val="Rimandonotaapidipagina"/>
          <w:rFonts w:eastAsia="Times New Roman"/>
          <w:spacing w:val="2"/>
          <w:kern w:val="1"/>
          <w:szCs w:val="20"/>
          <w:lang w:eastAsia="ar-SA"/>
        </w:rPr>
        <w:footnoteReference w:id="2"/>
      </w:r>
      <w:r w:rsidR="00314B5E">
        <w:rPr>
          <w:rFonts w:eastAsia="Times New Roman"/>
          <w:spacing w:val="2"/>
          <w:kern w:val="1"/>
          <w:szCs w:val="20"/>
          <w:lang w:eastAsia="ar-SA"/>
        </w:rPr>
        <w:t>.</w:t>
      </w:r>
      <w:r w:rsidR="00FD19AE">
        <w:rPr>
          <w:rFonts w:eastAsia="Times New Roman"/>
          <w:spacing w:val="2"/>
          <w:kern w:val="1"/>
          <w:szCs w:val="20"/>
          <w:lang w:eastAsia="ar-SA"/>
        </w:rPr>
        <w:t xml:space="preserve"> </w:t>
      </w:r>
    </w:p>
    <w:p w14:paraId="523072CD" w14:textId="67948BF2" w:rsidR="00F5655A" w:rsidRPr="00BD6BF4" w:rsidRDefault="005F4114" w:rsidP="005A191E">
      <w:pPr>
        <w:pStyle w:val="Paragrafoelenco"/>
        <w:suppressAutoHyphens/>
        <w:spacing w:after="0" w:line="360" w:lineRule="auto"/>
        <w:ind w:left="567" w:firstLine="0"/>
        <w:textAlignment w:val="baseline"/>
        <w:rPr>
          <w:rFonts w:eastAsia="Times New Roman"/>
          <w:spacing w:val="2"/>
          <w:kern w:val="1"/>
          <w:szCs w:val="20"/>
          <w:lang w:eastAsia="ar-SA"/>
        </w:rPr>
      </w:pPr>
      <w:r>
        <w:rPr>
          <w:rFonts w:eastAsia="Times New Roman"/>
          <w:spacing w:val="2"/>
          <w:kern w:val="1"/>
          <w:szCs w:val="20"/>
          <w:lang w:eastAsia="ar-SA"/>
        </w:rPr>
        <w:t xml:space="preserve">          Inoltre</w:t>
      </w:r>
      <w:r w:rsidR="00832926">
        <w:rPr>
          <w:rFonts w:eastAsia="Times New Roman"/>
          <w:spacing w:val="2"/>
          <w:kern w:val="1"/>
          <w:szCs w:val="20"/>
          <w:lang w:eastAsia="ar-SA"/>
        </w:rPr>
        <w:t>,</w:t>
      </w:r>
      <w:r>
        <w:rPr>
          <w:rFonts w:eastAsia="Times New Roman"/>
          <w:spacing w:val="2"/>
          <w:kern w:val="1"/>
          <w:szCs w:val="20"/>
          <w:lang w:eastAsia="ar-SA"/>
        </w:rPr>
        <w:t xml:space="preserve"> sono sempre assentiti gli incarichi gratuiti, anche per quelle funzioni che, se conferite dietro corrispettivo incorrerebbero nel divieto di cui alla normativa in esame, nei limiti di cui all’art. 5, comma 9</w:t>
      </w:r>
      <w:r w:rsidR="00946B42">
        <w:rPr>
          <w:rFonts w:eastAsia="Times New Roman"/>
          <w:spacing w:val="2"/>
          <w:kern w:val="1"/>
          <w:szCs w:val="20"/>
          <w:lang w:eastAsia="ar-SA"/>
        </w:rPr>
        <w:t>,</w:t>
      </w:r>
      <w:r>
        <w:rPr>
          <w:rFonts w:eastAsia="Times New Roman"/>
          <w:spacing w:val="2"/>
          <w:kern w:val="1"/>
          <w:szCs w:val="20"/>
          <w:lang w:eastAsia="ar-SA"/>
        </w:rPr>
        <w:t xml:space="preserve"> del D.L. n. 95/2012 e considerate anche le limitazioni di altre leggi speciali, quale, ad esempio, l’art. 33, comma 3, del D.L. n. 233/2006</w:t>
      </w:r>
      <w:r w:rsidR="00832926">
        <w:rPr>
          <w:rFonts w:eastAsia="Times New Roman"/>
          <w:spacing w:val="2"/>
          <w:kern w:val="1"/>
          <w:szCs w:val="20"/>
          <w:lang w:eastAsia="ar-SA"/>
        </w:rPr>
        <w:t>.</w:t>
      </w:r>
      <w:r>
        <w:rPr>
          <w:rFonts w:eastAsia="Times New Roman"/>
          <w:spacing w:val="2"/>
          <w:kern w:val="1"/>
          <w:szCs w:val="20"/>
          <w:lang w:eastAsia="ar-SA"/>
        </w:rPr>
        <w:t xml:space="preserve"> </w:t>
      </w:r>
    </w:p>
    <w:p w14:paraId="0D4E7A26" w14:textId="5E221CD5" w:rsidR="005D4FE8" w:rsidRDefault="00155BCD" w:rsidP="00155BCD">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lastRenderedPageBreak/>
        <w:t xml:space="preserve">La successiva circolare n. 4/2015, che mira espressamente ad integrare la circolare n. 6/2014 a seguito della modifica </w:t>
      </w:r>
      <w:r w:rsidR="00946B42">
        <w:rPr>
          <w:rFonts w:eastAsia="Times New Roman"/>
          <w:spacing w:val="2"/>
          <w:kern w:val="1"/>
          <w:szCs w:val="20"/>
          <w:lang w:eastAsia="ar-SA"/>
        </w:rPr>
        <w:t xml:space="preserve">apportata </w:t>
      </w:r>
      <w:r>
        <w:rPr>
          <w:rFonts w:eastAsia="Times New Roman"/>
          <w:spacing w:val="2"/>
          <w:kern w:val="1"/>
          <w:szCs w:val="20"/>
          <w:lang w:eastAsia="ar-SA"/>
        </w:rPr>
        <w:t>all’art. 5, comma 9</w:t>
      </w:r>
      <w:r w:rsidR="00946B42">
        <w:rPr>
          <w:rFonts w:eastAsia="Times New Roman"/>
          <w:spacing w:val="2"/>
          <w:kern w:val="1"/>
          <w:szCs w:val="20"/>
          <w:lang w:eastAsia="ar-SA"/>
        </w:rPr>
        <w:t>,</w:t>
      </w:r>
      <w:r>
        <w:rPr>
          <w:rFonts w:eastAsia="Times New Roman"/>
          <w:spacing w:val="2"/>
          <w:kern w:val="1"/>
          <w:szCs w:val="20"/>
          <w:lang w:eastAsia="ar-SA"/>
        </w:rPr>
        <w:t xml:space="preserve"> del D.L. n. 95/2012 introdotta dall’art. 17, comma</w:t>
      </w:r>
      <w:r w:rsidR="00690725">
        <w:rPr>
          <w:rFonts w:eastAsia="Times New Roman"/>
          <w:spacing w:val="2"/>
          <w:kern w:val="1"/>
          <w:szCs w:val="20"/>
          <w:lang w:eastAsia="ar-SA"/>
        </w:rPr>
        <w:t xml:space="preserve"> </w:t>
      </w:r>
      <w:r>
        <w:rPr>
          <w:rFonts w:eastAsia="Times New Roman"/>
          <w:spacing w:val="2"/>
          <w:kern w:val="1"/>
          <w:szCs w:val="20"/>
          <w:lang w:eastAsia="ar-SA"/>
        </w:rPr>
        <w:t>3, della L. n. 124/2015, specifica che il divieto contenuto nella disposizione in esame “</w:t>
      </w:r>
      <w:r w:rsidRPr="00080E28">
        <w:rPr>
          <w:rFonts w:eastAsia="Times New Roman"/>
          <w:i/>
          <w:spacing w:val="2"/>
          <w:kern w:val="1"/>
          <w:szCs w:val="20"/>
          <w:lang w:eastAsia="ar-SA"/>
        </w:rPr>
        <w:t xml:space="preserve">riguarda anche le collaborazioni e gli incarichi attribuiti ai sensi dell’art. 14 del decreto legislativo 30 marzo 2001, n. 165 </w:t>
      </w:r>
      <w:r w:rsidR="00080E28" w:rsidRPr="00080E28">
        <w:rPr>
          <w:rFonts w:eastAsia="Times New Roman"/>
          <w:i/>
          <w:spacing w:val="2"/>
          <w:kern w:val="1"/>
          <w:szCs w:val="20"/>
          <w:lang w:eastAsia="ar-SA"/>
        </w:rPr>
        <w:t>e dell’articolo 90 del decreto legislativo 18 agosto 2000, n. 267. Come già osservato nella circolare n. 6 del 2014, infatti, in assenza di esclusioni al riguardo, devono ritenersi soggetti al divieto anche gli incarichi dirigenziali, direttivi, di studio o di consulenza assegnati nell’ambito degli uffici di diretta collaborazione di organi politici.</w:t>
      </w:r>
      <w:r w:rsidR="00080E28">
        <w:rPr>
          <w:rFonts w:eastAsia="Times New Roman"/>
          <w:spacing w:val="2"/>
          <w:kern w:val="1"/>
          <w:szCs w:val="20"/>
          <w:lang w:eastAsia="ar-SA"/>
        </w:rPr>
        <w:t>”.</w:t>
      </w:r>
    </w:p>
    <w:p w14:paraId="53F8AA3C" w14:textId="4EF52819" w:rsidR="00E9464E" w:rsidRDefault="00E9464E" w:rsidP="00155BCD">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 xml:space="preserve">Le due circolari, come evidenziato dal parere reso dalla Sezione regionale di controllo </w:t>
      </w:r>
      <w:r w:rsidR="00946B42">
        <w:rPr>
          <w:rFonts w:eastAsia="Times New Roman"/>
          <w:spacing w:val="2"/>
          <w:kern w:val="1"/>
          <w:szCs w:val="20"/>
          <w:lang w:eastAsia="ar-SA"/>
        </w:rPr>
        <w:t xml:space="preserve">della Corte dei conti per la </w:t>
      </w:r>
      <w:r>
        <w:rPr>
          <w:rFonts w:eastAsia="Times New Roman"/>
          <w:spacing w:val="2"/>
          <w:kern w:val="1"/>
          <w:szCs w:val="20"/>
          <w:lang w:eastAsia="ar-SA"/>
        </w:rPr>
        <w:t>Liguria con deliberazione n. 27/2016/PAR, non sono antitetiche ma si integrano tra loro, in quanto la seconda “</w:t>
      </w:r>
      <w:r w:rsidRPr="00E9464E">
        <w:rPr>
          <w:rFonts w:eastAsia="Times New Roman"/>
          <w:i/>
          <w:spacing w:val="2"/>
          <w:kern w:val="1"/>
          <w:szCs w:val="20"/>
          <w:lang w:eastAsia="ar-SA"/>
        </w:rPr>
        <w:t>si limita a specificare come tra gli incarichi direttivi o dirigenziali che non si possono conferire al personale in quiescenza rientrano anche quelli conferiti con i contratti di diritto privato previsti dall’art. 90 TUEL (e non solo).</w:t>
      </w:r>
      <w:r w:rsidR="00690725">
        <w:rPr>
          <w:rFonts w:eastAsia="Times New Roman"/>
          <w:i/>
          <w:spacing w:val="2"/>
          <w:kern w:val="1"/>
          <w:szCs w:val="20"/>
          <w:lang w:eastAsia="ar-SA"/>
        </w:rPr>
        <w:t xml:space="preserve"> Ciò non implica il divieto generale di stipulare contratti con personale in quiescenza ai sensi della disposizione appena menzionata, bensì, - e più semplicemente -  chiarire come neppure utilizzando lo schema elastico dell’art. 90 TUEL sia possibile, nell’ambito degli enti locali, conferire incarichi dirigenziali o direttivi a soggetti già pensionati.</w:t>
      </w:r>
      <w:r>
        <w:rPr>
          <w:rFonts w:eastAsia="Times New Roman"/>
          <w:spacing w:val="2"/>
          <w:kern w:val="1"/>
          <w:szCs w:val="20"/>
          <w:lang w:eastAsia="ar-SA"/>
        </w:rPr>
        <w:t>”.</w:t>
      </w:r>
    </w:p>
    <w:p w14:paraId="289AF396" w14:textId="5B7F8813" w:rsidR="00E93FC7" w:rsidRDefault="00E93FC7" w:rsidP="00155BCD">
      <w:pPr>
        <w:pStyle w:val="Paragrafoelenco"/>
        <w:suppressAutoHyphens/>
        <w:spacing w:after="0" w:line="360" w:lineRule="auto"/>
        <w:ind w:left="567" w:firstLine="709"/>
        <w:textAlignment w:val="baseline"/>
        <w:rPr>
          <w:rFonts w:eastAsia="Times New Roman"/>
          <w:spacing w:val="2"/>
          <w:kern w:val="1"/>
          <w:szCs w:val="20"/>
          <w:lang w:eastAsia="ar-SA"/>
        </w:rPr>
      </w:pPr>
    </w:p>
    <w:p w14:paraId="46941ECA" w14:textId="5AC4D9F9" w:rsidR="00E93FC7" w:rsidRDefault="00E93FC7" w:rsidP="00155BCD">
      <w:pPr>
        <w:pStyle w:val="Paragrafoelenco"/>
        <w:suppressAutoHyphens/>
        <w:spacing w:after="0" w:line="360" w:lineRule="auto"/>
        <w:ind w:left="567" w:firstLine="709"/>
        <w:textAlignment w:val="baseline"/>
        <w:rPr>
          <w:rFonts w:eastAsia="Times New Roman"/>
          <w:spacing w:val="2"/>
          <w:kern w:val="1"/>
          <w:szCs w:val="20"/>
          <w:lang w:eastAsia="ar-SA"/>
        </w:rPr>
      </w:pPr>
      <w:r w:rsidRPr="00563779">
        <w:rPr>
          <w:rFonts w:eastAsia="Times New Roman"/>
          <w:b/>
          <w:spacing w:val="2"/>
          <w:kern w:val="1"/>
          <w:szCs w:val="20"/>
          <w:lang w:eastAsia="ar-SA"/>
        </w:rPr>
        <w:t>3.</w:t>
      </w:r>
      <w:r>
        <w:rPr>
          <w:rFonts w:eastAsia="Times New Roman"/>
          <w:b/>
          <w:spacing w:val="2"/>
          <w:kern w:val="1"/>
          <w:szCs w:val="20"/>
          <w:lang w:eastAsia="ar-SA"/>
        </w:rPr>
        <w:t xml:space="preserve">3 </w:t>
      </w:r>
      <w:r>
        <w:rPr>
          <w:rFonts w:eastAsia="Times New Roman"/>
          <w:spacing w:val="2"/>
          <w:kern w:val="1"/>
          <w:szCs w:val="20"/>
          <w:lang w:eastAsia="ar-SA"/>
        </w:rPr>
        <w:t xml:space="preserve">Alla luce della ricostruzione </w:t>
      </w:r>
      <w:r w:rsidR="00553CF1">
        <w:rPr>
          <w:rFonts w:eastAsia="Times New Roman"/>
          <w:spacing w:val="2"/>
          <w:kern w:val="1"/>
          <w:szCs w:val="20"/>
          <w:lang w:eastAsia="ar-SA"/>
        </w:rPr>
        <w:t xml:space="preserve">normativa e </w:t>
      </w:r>
      <w:r w:rsidR="00C323C9">
        <w:rPr>
          <w:rFonts w:eastAsia="Times New Roman"/>
          <w:spacing w:val="2"/>
          <w:kern w:val="1"/>
          <w:szCs w:val="20"/>
          <w:lang w:eastAsia="ar-SA"/>
        </w:rPr>
        <w:t xml:space="preserve">degli </w:t>
      </w:r>
      <w:r w:rsidR="00EE2E4D">
        <w:rPr>
          <w:rFonts w:eastAsia="Times New Roman"/>
          <w:spacing w:val="2"/>
          <w:kern w:val="1"/>
          <w:szCs w:val="20"/>
          <w:lang w:eastAsia="ar-SA"/>
        </w:rPr>
        <w:t>approdi ermeneutici del</w:t>
      </w:r>
      <w:r w:rsidR="00C323C9">
        <w:rPr>
          <w:rFonts w:eastAsia="Times New Roman"/>
          <w:spacing w:val="2"/>
          <w:kern w:val="1"/>
          <w:szCs w:val="20"/>
          <w:lang w:eastAsia="ar-SA"/>
        </w:rPr>
        <w:t xml:space="preserve">la giurisprudenza contabile </w:t>
      </w:r>
      <w:r w:rsidR="00EE2E4D">
        <w:rPr>
          <w:rFonts w:eastAsia="Times New Roman"/>
          <w:spacing w:val="2"/>
          <w:kern w:val="1"/>
          <w:szCs w:val="20"/>
          <w:lang w:eastAsia="ar-SA"/>
        </w:rPr>
        <w:t xml:space="preserve">esplicitati può essere fornita risposta al quesito </w:t>
      </w:r>
      <w:r w:rsidR="00946B42">
        <w:rPr>
          <w:rFonts w:eastAsia="Times New Roman"/>
          <w:spacing w:val="2"/>
          <w:kern w:val="1"/>
          <w:szCs w:val="20"/>
          <w:lang w:eastAsia="ar-SA"/>
        </w:rPr>
        <w:t>avanzato da</w:t>
      </w:r>
      <w:r w:rsidR="00EE2E4D">
        <w:rPr>
          <w:rFonts w:eastAsia="Times New Roman"/>
          <w:spacing w:val="2"/>
          <w:kern w:val="1"/>
          <w:szCs w:val="20"/>
          <w:lang w:eastAsia="ar-SA"/>
        </w:rPr>
        <w:t xml:space="preserve">l comune di Barile nei termini di seguito illustrati. </w:t>
      </w:r>
    </w:p>
    <w:p w14:paraId="00572F72" w14:textId="5FF059C0" w:rsidR="00933058" w:rsidRDefault="00734CE6" w:rsidP="00155BCD">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Da</w:t>
      </w:r>
      <w:r w:rsidR="0072608F" w:rsidRPr="0072608F">
        <w:rPr>
          <w:rFonts w:eastAsia="Times New Roman"/>
          <w:spacing w:val="2"/>
          <w:kern w:val="1"/>
          <w:szCs w:val="20"/>
          <w:lang w:eastAsia="ar-SA"/>
        </w:rPr>
        <w:t>l quadro normativo e regolamentare delineato</w:t>
      </w:r>
      <w:r w:rsidR="00457935">
        <w:rPr>
          <w:rFonts w:eastAsia="Times New Roman"/>
          <w:spacing w:val="2"/>
          <w:kern w:val="1"/>
          <w:szCs w:val="20"/>
          <w:lang w:eastAsia="ar-SA"/>
        </w:rPr>
        <w:t xml:space="preserve"> emerge che, </w:t>
      </w:r>
      <w:r>
        <w:rPr>
          <w:rFonts w:eastAsia="Times New Roman"/>
          <w:spacing w:val="2"/>
          <w:kern w:val="1"/>
          <w:szCs w:val="20"/>
          <w:lang w:eastAsia="ar-SA"/>
        </w:rPr>
        <w:t xml:space="preserve">al fine di assentire o di </w:t>
      </w:r>
      <w:r w:rsidR="0072608F">
        <w:rPr>
          <w:rFonts w:eastAsia="Times New Roman"/>
          <w:spacing w:val="2"/>
          <w:kern w:val="1"/>
          <w:szCs w:val="20"/>
          <w:lang w:eastAsia="ar-SA"/>
        </w:rPr>
        <w:t xml:space="preserve">escludere la </w:t>
      </w:r>
      <w:proofErr w:type="spellStart"/>
      <w:r w:rsidR="0072608F">
        <w:rPr>
          <w:rFonts w:eastAsia="Times New Roman"/>
          <w:spacing w:val="2"/>
          <w:kern w:val="1"/>
          <w:szCs w:val="20"/>
          <w:lang w:eastAsia="ar-SA"/>
        </w:rPr>
        <w:t>conferibilità</w:t>
      </w:r>
      <w:proofErr w:type="spellEnd"/>
      <w:r w:rsidR="0072608F">
        <w:rPr>
          <w:rFonts w:eastAsia="Times New Roman"/>
          <w:spacing w:val="2"/>
          <w:kern w:val="1"/>
          <w:szCs w:val="20"/>
          <w:lang w:eastAsia="ar-SA"/>
        </w:rPr>
        <w:t xml:space="preserve"> degli incarichi ex art. 90 TUEL al personale in quiescenza</w:t>
      </w:r>
      <w:r w:rsidR="00457935">
        <w:rPr>
          <w:rFonts w:eastAsia="Times New Roman"/>
          <w:spacing w:val="2"/>
          <w:kern w:val="1"/>
          <w:szCs w:val="20"/>
          <w:lang w:eastAsia="ar-SA"/>
        </w:rPr>
        <w:t xml:space="preserve">, occorre valutare </w:t>
      </w:r>
      <w:r w:rsidR="00457935" w:rsidRPr="00770EAD">
        <w:rPr>
          <w:rFonts w:eastAsia="Times New Roman"/>
          <w:spacing w:val="2"/>
          <w:kern w:val="1"/>
          <w:szCs w:val="20"/>
          <w:lang w:eastAsia="ar-SA"/>
        </w:rPr>
        <w:t xml:space="preserve">innanzitutto la possibilità di affidare </w:t>
      </w:r>
      <w:r w:rsidR="00946B42">
        <w:rPr>
          <w:rFonts w:eastAsia="Times New Roman"/>
          <w:spacing w:val="2"/>
          <w:kern w:val="1"/>
          <w:szCs w:val="20"/>
          <w:lang w:eastAsia="ar-SA"/>
        </w:rPr>
        <w:t>“</w:t>
      </w:r>
      <w:r w:rsidR="00457935" w:rsidRPr="00770EAD">
        <w:rPr>
          <w:rFonts w:eastAsia="Times New Roman"/>
          <w:spacing w:val="2"/>
          <w:kern w:val="1"/>
          <w:szCs w:val="20"/>
          <w:lang w:eastAsia="ar-SA"/>
        </w:rPr>
        <w:t>incarichi di staff</w:t>
      </w:r>
      <w:r w:rsidR="00946B42">
        <w:rPr>
          <w:rFonts w:eastAsia="Times New Roman"/>
          <w:spacing w:val="2"/>
          <w:kern w:val="1"/>
          <w:szCs w:val="20"/>
          <w:lang w:eastAsia="ar-SA"/>
        </w:rPr>
        <w:t>”</w:t>
      </w:r>
      <w:r w:rsidR="00457935" w:rsidRPr="00770EAD">
        <w:rPr>
          <w:rFonts w:eastAsia="Times New Roman"/>
          <w:spacing w:val="2"/>
          <w:kern w:val="1"/>
          <w:szCs w:val="20"/>
          <w:lang w:eastAsia="ar-SA"/>
        </w:rPr>
        <w:t xml:space="preserve"> che non si sostituiscano, di fatto, </w:t>
      </w:r>
      <w:r w:rsidR="008D3107" w:rsidRPr="00770EAD">
        <w:rPr>
          <w:rFonts w:eastAsia="Times New Roman"/>
          <w:spacing w:val="2"/>
          <w:kern w:val="1"/>
          <w:szCs w:val="20"/>
          <w:lang w:eastAsia="ar-SA"/>
        </w:rPr>
        <w:t>alle “ordinarie” mansioni amministrative</w:t>
      </w:r>
      <w:r w:rsidR="008D3107">
        <w:rPr>
          <w:rFonts w:eastAsia="Times New Roman"/>
          <w:spacing w:val="2"/>
          <w:kern w:val="1"/>
          <w:szCs w:val="20"/>
          <w:lang w:eastAsia="ar-SA"/>
        </w:rPr>
        <w:t xml:space="preserve">, quindi verificare </w:t>
      </w:r>
      <w:r w:rsidR="0072608F">
        <w:rPr>
          <w:rFonts w:eastAsia="Times New Roman"/>
          <w:spacing w:val="2"/>
          <w:kern w:val="1"/>
          <w:szCs w:val="20"/>
          <w:lang w:eastAsia="ar-SA"/>
        </w:rPr>
        <w:t>la natura degli incarichi (direttivi, dirigenziali, di studio, di consulenza ecc.),</w:t>
      </w:r>
      <w:r w:rsidR="000C181B">
        <w:rPr>
          <w:rFonts w:eastAsia="Times New Roman"/>
          <w:spacing w:val="2"/>
          <w:kern w:val="1"/>
          <w:szCs w:val="20"/>
          <w:lang w:eastAsia="ar-SA"/>
        </w:rPr>
        <w:t xml:space="preserve"> e</w:t>
      </w:r>
      <w:r w:rsidR="008D3107">
        <w:rPr>
          <w:rFonts w:eastAsia="Times New Roman"/>
          <w:spacing w:val="2"/>
          <w:kern w:val="1"/>
          <w:szCs w:val="20"/>
          <w:lang w:eastAsia="ar-SA"/>
        </w:rPr>
        <w:t>, infine, considerare i</w:t>
      </w:r>
      <w:r w:rsidR="0072608F">
        <w:rPr>
          <w:rFonts w:eastAsia="Times New Roman"/>
          <w:spacing w:val="2"/>
          <w:kern w:val="1"/>
          <w:szCs w:val="20"/>
          <w:lang w:eastAsia="ar-SA"/>
        </w:rPr>
        <w:t>l carattere oneroso dell’affidamento</w:t>
      </w:r>
      <w:r>
        <w:rPr>
          <w:rFonts w:eastAsia="Times New Roman"/>
          <w:spacing w:val="2"/>
          <w:kern w:val="1"/>
          <w:szCs w:val="20"/>
          <w:lang w:eastAsia="ar-SA"/>
        </w:rPr>
        <w:t>.</w:t>
      </w:r>
    </w:p>
    <w:p w14:paraId="7CB6A894" w14:textId="5B6FA712" w:rsidR="007024B4" w:rsidRDefault="00734CE6" w:rsidP="00155BCD">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Per quanto riguarda la natura dell’incarico, la richiesta avanzata dal comune di Barile non specifica l’</w:t>
      </w:r>
      <w:proofErr w:type="spellStart"/>
      <w:r w:rsidRPr="00734CE6">
        <w:rPr>
          <w:rFonts w:eastAsia="Times New Roman"/>
          <w:i/>
          <w:spacing w:val="2"/>
          <w:kern w:val="1"/>
          <w:szCs w:val="20"/>
          <w:lang w:eastAsia="ar-SA"/>
        </w:rPr>
        <w:t>ubi</w:t>
      </w:r>
      <w:proofErr w:type="spellEnd"/>
      <w:r w:rsidRPr="00734CE6">
        <w:rPr>
          <w:rFonts w:eastAsia="Times New Roman"/>
          <w:i/>
          <w:spacing w:val="2"/>
          <w:kern w:val="1"/>
          <w:szCs w:val="20"/>
          <w:lang w:eastAsia="ar-SA"/>
        </w:rPr>
        <w:t xml:space="preserve"> </w:t>
      </w:r>
      <w:proofErr w:type="spellStart"/>
      <w:r w:rsidRPr="00734CE6">
        <w:rPr>
          <w:rFonts w:eastAsia="Times New Roman"/>
          <w:i/>
          <w:spacing w:val="2"/>
          <w:kern w:val="1"/>
          <w:szCs w:val="20"/>
          <w:lang w:eastAsia="ar-SA"/>
        </w:rPr>
        <w:t>consistam</w:t>
      </w:r>
      <w:proofErr w:type="spellEnd"/>
      <w:r>
        <w:rPr>
          <w:rFonts w:eastAsia="Times New Roman"/>
          <w:spacing w:val="2"/>
          <w:kern w:val="1"/>
          <w:szCs w:val="20"/>
          <w:lang w:eastAsia="ar-SA"/>
        </w:rPr>
        <w:t xml:space="preserve"> dell’incarico che si intende conferire. Si afferma solo che il personale in quiescenza con il quale si intende concludere un contratto di lavoro a tempo determinato sarà inquadrato nella “</w:t>
      </w:r>
      <w:r w:rsidRPr="00734CE6">
        <w:rPr>
          <w:rFonts w:eastAsia="Times New Roman"/>
          <w:i/>
          <w:spacing w:val="2"/>
          <w:kern w:val="1"/>
          <w:szCs w:val="20"/>
          <w:lang w:eastAsia="ar-SA"/>
        </w:rPr>
        <w:t xml:space="preserve">categoria C del vigente CCNL di comparto che </w:t>
      </w:r>
      <w:r>
        <w:rPr>
          <w:rFonts w:eastAsia="Times New Roman"/>
          <w:i/>
          <w:spacing w:val="2"/>
          <w:kern w:val="1"/>
          <w:szCs w:val="20"/>
          <w:lang w:eastAsia="ar-SA"/>
        </w:rPr>
        <w:t xml:space="preserve">non implica un ruolo direttivo e, quindi, rapporti non compresi tra le tipologie </w:t>
      </w:r>
      <w:r w:rsidR="001F1FF0">
        <w:rPr>
          <w:rFonts w:eastAsia="Times New Roman"/>
          <w:i/>
          <w:spacing w:val="2"/>
          <w:kern w:val="1"/>
          <w:szCs w:val="20"/>
          <w:lang w:eastAsia="ar-SA"/>
        </w:rPr>
        <w:t>di attività (incarichi o cariche) vietati ai pensionati, pubblici e privati, a mente dell’art. 5, comma 9 del D.L. 95/2012, come da ultimo modificato dall’art. 17, comma 3</w:t>
      </w:r>
      <w:r w:rsidR="006E3F8B">
        <w:rPr>
          <w:rFonts w:eastAsia="Times New Roman"/>
          <w:i/>
          <w:spacing w:val="2"/>
          <w:kern w:val="1"/>
          <w:szCs w:val="20"/>
          <w:lang w:eastAsia="ar-SA"/>
        </w:rPr>
        <w:t>,</w:t>
      </w:r>
      <w:r w:rsidR="001F1FF0">
        <w:rPr>
          <w:rFonts w:eastAsia="Times New Roman"/>
          <w:i/>
          <w:spacing w:val="2"/>
          <w:kern w:val="1"/>
          <w:szCs w:val="20"/>
          <w:lang w:eastAsia="ar-SA"/>
        </w:rPr>
        <w:t xml:space="preserve"> della L. 124/2015</w:t>
      </w:r>
      <w:r w:rsidR="001F1FF0">
        <w:rPr>
          <w:rFonts w:eastAsia="Times New Roman"/>
          <w:spacing w:val="2"/>
          <w:kern w:val="1"/>
          <w:szCs w:val="20"/>
          <w:lang w:eastAsia="ar-SA"/>
        </w:rPr>
        <w:t>”. Tuttavia</w:t>
      </w:r>
      <w:r w:rsidR="009E5BC3">
        <w:rPr>
          <w:rFonts w:eastAsia="Times New Roman"/>
          <w:spacing w:val="2"/>
          <w:kern w:val="1"/>
          <w:szCs w:val="20"/>
          <w:lang w:eastAsia="ar-SA"/>
        </w:rPr>
        <w:t>,</w:t>
      </w:r>
      <w:r w:rsidR="001F1FF0">
        <w:rPr>
          <w:rFonts w:eastAsia="Times New Roman"/>
          <w:spacing w:val="2"/>
          <w:kern w:val="1"/>
          <w:szCs w:val="20"/>
          <w:lang w:eastAsia="ar-SA"/>
        </w:rPr>
        <w:t xml:space="preserve"> l’inquadramento del personale in categoria </w:t>
      </w:r>
      <w:r w:rsidR="006D3456">
        <w:rPr>
          <w:rFonts w:eastAsia="Times New Roman"/>
          <w:spacing w:val="2"/>
          <w:kern w:val="1"/>
          <w:szCs w:val="20"/>
          <w:lang w:eastAsia="ar-SA"/>
        </w:rPr>
        <w:t>“</w:t>
      </w:r>
      <w:r w:rsidR="001F1FF0">
        <w:rPr>
          <w:rFonts w:eastAsia="Times New Roman"/>
          <w:spacing w:val="2"/>
          <w:kern w:val="1"/>
          <w:szCs w:val="20"/>
          <w:lang w:eastAsia="ar-SA"/>
        </w:rPr>
        <w:t>C</w:t>
      </w:r>
      <w:r w:rsidR="006D3456">
        <w:rPr>
          <w:rFonts w:eastAsia="Times New Roman"/>
          <w:spacing w:val="2"/>
          <w:kern w:val="1"/>
          <w:szCs w:val="20"/>
          <w:lang w:eastAsia="ar-SA"/>
        </w:rPr>
        <w:t>”</w:t>
      </w:r>
      <w:r w:rsidR="009E5BC3">
        <w:rPr>
          <w:rFonts w:eastAsia="Times New Roman"/>
          <w:spacing w:val="2"/>
          <w:kern w:val="1"/>
          <w:szCs w:val="20"/>
          <w:lang w:eastAsia="ar-SA"/>
        </w:rPr>
        <w:t xml:space="preserve"> se, da un lato, sembra escludere che l’incarico che s</w:t>
      </w:r>
      <w:r w:rsidR="00C519B5">
        <w:rPr>
          <w:rFonts w:eastAsia="Times New Roman"/>
          <w:spacing w:val="2"/>
          <w:kern w:val="1"/>
          <w:szCs w:val="20"/>
          <w:lang w:eastAsia="ar-SA"/>
        </w:rPr>
        <w:t>i intende attribuire non rivesta</w:t>
      </w:r>
      <w:r w:rsidR="009E5BC3">
        <w:rPr>
          <w:rFonts w:eastAsia="Times New Roman"/>
          <w:spacing w:val="2"/>
          <w:kern w:val="1"/>
          <w:szCs w:val="20"/>
          <w:lang w:eastAsia="ar-SA"/>
        </w:rPr>
        <w:t xml:space="preserve"> i caratteri dell’incarico direttivo o </w:t>
      </w:r>
      <w:r w:rsidR="009E5BC3">
        <w:rPr>
          <w:rFonts w:eastAsia="Times New Roman"/>
          <w:spacing w:val="2"/>
          <w:kern w:val="1"/>
          <w:szCs w:val="20"/>
          <w:lang w:eastAsia="ar-SA"/>
        </w:rPr>
        <w:lastRenderedPageBreak/>
        <w:t>dirigenziale,</w:t>
      </w:r>
      <w:r w:rsidR="001F1FF0">
        <w:rPr>
          <w:rFonts w:eastAsia="Times New Roman"/>
          <w:spacing w:val="2"/>
          <w:kern w:val="1"/>
          <w:szCs w:val="20"/>
          <w:lang w:eastAsia="ar-SA"/>
        </w:rPr>
        <w:t xml:space="preserve"> </w:t>
      </w:r>
      <w:r w:rsidR="009E5BC3">
        <w:rPr>
          <w:rFonts w:eastAsia="Times New Roman"/>
          <w:spacing w:val="2"/>
          <w:kern w:val="1"/>
          <w:szCs w:val="20"/>
          <w:lang w:eastAsia="ar-SA"/>
        </w:rPr>
        <w:t xml:space="preserve">dall’altro </w:t>
      </w:r>
      <w:r w:rsidR="001F1FF0">
        <w:rPr>
          <w:rFonts w:eastAsia="Times New Roman"/>
          <w:spacing w:val="2"/>
          <w:kern w:val="1"/>
          <w:szCs w:val="20"/>
          <w:lang w:eastAsia="ar-SA"/>
        </w:rPr>
        <w:t xml:space="preserve">non </w:t>
      </w:r>
      <w:r w:rsidR="008E761E">
        <w:rPr>
          <w:rFonts w:eastAsia="Times New Roman"/>
          <w:spacing w:val="2"/>
          <w:kern w:val="1"/>
          <w:szCs w:val="20"/>
          <w:lang w:eastAsia="ar-SA"/>
        </w:rPr>
        <w:t>sembra</w:t>
      </w:r>
      <w:r w:rsidR="009E5BC3">
        <w:rPr>
          <w:rFonts w:eastAsia="Times New Roman"/>
          <w:spacing w:val="2"/>
          <w:kern w:val="1"/>
          <w:szCs w:val="20"/>
          <w:lang w:eastAsia="ar-SA"/>
        </w:rPr>
        <w:t xml:space="preserve"> di per sé</w:t>
      </w:r>
      <w:r w:rsidR="001F1FF0">
        <w:rPr>
          <w:rFonts w:eastAsia="Times New Roman"/>
          <w:spacing w:val="2"/>
          <w:kern w:val="1"/>
          <w:szCs w:val="20"/>
          <w:lang w:eastAsia="ar-SA"/>
        </w:rPr>
        <w:t xml:space="preserve"> </w:t>
      </w:r>
      <w:r w:rsidR="008E761E">
        <w:rPr>
          <w:rFonts w:eastAsia="Times New Roman"/>
          <w:spacing w:val="2"/>
          <w:kern w:val="1"/>
          <w:szCs w:val="20"/>
          <w:lang w:eastAsia="ar-SA"/>
        </w:rPr>
        <w:t xml:space="preserve">escludere </w:t>
      </w:r>
      <w:r w:rsidR="001F1FF0">
        <w:rPr>
          <w:rFonts w:eastAsia="Times New Roman"/>
          <w:spacing w:val="2"/>
          <w:kern w:val="1"/>
          <w:szCs w:val="20"/>
          <w:lang w:eastAsia="ar-SA"/>
        </w:rPr>
        <w:t>che il personale</w:t>
      </w:r>
      <w:r w:rsidR="009E5BC3">
        <w:rPr>
          <w:rFonts w:eastAsia="Times New Roman"/>
          <w:spacing w:val="2"/>
          <w:kern w:val="1"/>
          <w:szCs w:val="20"/>
          <w:lang w:eastAsia="ar-SA"/>
        </w:rPr>
        <w:t xml:space="preserve"> in quiescenza da assumere</w:t>
      </w:r>
      <w:r w:rsidR="001F1FF0">
        <w:rPr>
          <w:rFonts w:eastAsia="Times New Roman"/>
          <w:spacing w:val="2"/>
          <w:kern w:val="1"/>
          <w:szCs w:val="20"/>
          <w:lang w:eastAsia="ar-SA"/>
        </w:rPr>
        <w:t xml:space="preserve"> non svolga attività </w:t>
      </w:r>
      <w:r w:rsidR="009E5BC3">
        <w:rPr>
          <w:rFonts w:eastAsia="Times New Roman"/>
          <w:spacing w:val="2"/>
          <w:kern w:val="1"/>
          <w:szCs w:val="20"/>
          <w:lang w:eastAsia="ar-SA"/>
        </w:rPr>
        <w:t>di studio e</w:t>
      </w:r>
      <w:r w:rsidR="001F1FF0">
        <w:rPr>
          <w:rFonts w:eastAsia="Times New Roman"/>
          <w:spacing w:val="2"/>
          <w:kern w:val="1"/>
          <w:szCs w:val="20"/>
          <w:lang w:eastAsia="ar-SA"/>
        </w:rPr>
        <w:t xml:space="preserve"> consulenza</w:t>
      </w:r>
      <w:r w:rsidR="009E5BC3">
        <w:rPr>
          <w:rFonts w:eastAsia="Times New Roman"/>
          <w:spacing w:val="2"/>
          <w:kern w:val="1"/>
          <w:szCs w:val="20"/>
          <w:lang w:eastAsia="ar-SA"/>
        </w:rPr>
        <w:t xml:space="preserve">. </w:t>
      </w:r>
    </w:p>
    <w:p w14:paraId="7178D2D7" w14:textId="73CB6E0E" w:rsidR="009E5BC3" w:rsidRDefault="009E5BC3" w:rsidP="00155BCD">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È ne</w:t>
      </w:r>
      <w:r w:rsidR="007024B4">
        <w:rPr>
          <w:rFonts w:eastAsia="Times New Roman"/>
          <w:spacing w:val="2"/>
          <w:kern w:val="1"/>
          <w:szCs w:val="20"/>
          <w:lang w:eastAsia="ar-SA"/>
        </w:rPr>
        <w:t>cessario, quindi, verificare che</w:t>
      </w:r>
      <w:r>
        <w:rPr>
          <w:rFonts w:eastAsia="Times New Roman"/>
          <w:spacing w:val="2"/>
          <w:kern w:val="1"/>
          <w:szCs w:val="20"/>
          <w:lang w:eastAsia="ar-SA"/>
        </w:rPr>
        <w:t xml:space="preserve"> l’effettivo conte</w:t>
      </w:r>
      <w:r w:rsidR="007024B4">
        <w:rPr>
          <w:rFonts w:eastAsia="Times New Roman"/>
          <w:spacing w:val="2"/>
          <w:kern w:val="1"/>
          <w:szCs w:val="20"/>
          <w:lang w:eastAsia="ar-SA"/>
        </w:rPr>
        <w:t>nuto della prestazione dedotta in contratto</w:t>
      </w:r>
      <w:r w:rsidR="00946B42">
        <w:rPr>
          <w:rFonts w:eastAsia="Times New Roman"/>
          <w:spacing w:val="2"/>
          <w:kern w:val="1"/>
          <w:szCs w:val="20"/>
          <w:lang w:eastAsia="ar-SA"/>
        </w:rPr>
        <w:t xml:space="preserve"> sia diverso da quelle</w:t>
      </w:r>
      <w:r>
        <w:rPr>
          <w:rFonts w:eastAsia="Times New Roman"/>
          <w:spacing w:val="2"/>
          <w:kern w:val="1"/>
          <w:szCs w:val="20"/>
          <w:lang w:eastAsia="ar-SA"/>
        </w:rPr>
        <w:t xml:space="preserve"> tassativamente</w:t>
      </w:r>
      <w:r w:rsidR="00946B42">
        <w:rPr>
          <w:rFonts w:eastAsia="Times New Roman"/>
          <w:spacing w:val="2"/>
          <w:kern w:val="1"/>
          <w:szCs w:val="20"/>
          <w:lang w:eastAsia="ar-SA"/>
        </w:rPr>
        <w:t xml:space="preserve"> vietate</w:t>
      </w:r>
      <w:r w:rsidR="007024B4">
        <w:rPr>
          <w:rFonts w:eastAsia="Times New Roman"/>
          <w:spacing w:val="2"/>
          <w:kern w:val="1"/>
          <w:szCs w:val="20"/>
          <w:lang w:eastAsia="ar-SA"/>
        </w:rPr>
        <w:t xml:space="preserve"> e non soffermarsi sul tipo contrattuale tramite cui la convenzione è stipulata o sul livello di inquadramento garantito. Diviene dirimente, quindi la tipologia di attività concretamente dedotta nell’obbligazione.</w:t>
      </w:r>
    </w:p>
    <w:p w14:paraId="04DC3FE0" w14:textId="1970680E" w:rsidR="007A3119" w:rsidRDefault="008E761E" w:rsidP="00155BCD">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In merito alla natura dell’incarico l</w:t>
      </w:r>
      <w:r w:rsidR="009E5BC3">
        <w:rPr>
          <w:rFonts w:eastAsia="Times New Roman"/>
          <w:spacing w:val="2"/>
          <w:kern w:val="1"/>
          <w:szCs w:val="20"/>
          <w:lang w:eastAsia="ar-SA"/>
        </w:rPr>
        <w:t xml:space="preserve">a giurisprudenza contabile </w:t>
      </w:r>
      <w:r>
        <w:rPr>
          <w:rFonts w:eastAsia="Times New Roman"/>
          <w:spacing w:val="2"/>
          <w:kern w:val="1"/>
          <w:szCs w:val="20"/>
          <w:lang w:eastAsia="ar-SA"/>
        </w:rPr>
        <w:t>si è espressa nel senso che è “</w:t>
      </w:r>
      <w:r w:rsidRPr="008E761E">
        <w:rPr>
          <w:rFonts w:eastAsia="Times New Roman"/>
          <w:i/>
          <w:spacing w:val="2"/>
          <w:kern w:val="1"/>
          <w:szCs w:val="20"/>
          <w:lang w:eastAsia="ar-SA"/>
        </w:rPr>
        <w:t>conforme a legge il conferimento, mediante contratto di diritto privato ai sensi dell’art. 90 del TUEL, di un i</w:t>
      </w:r>
      <w:r>
        <w:rPr>
          <w:rFonts w:eastAsia="Times New Roman"/>
          <w:i/>
          <w:spacing w:val="2"/>
          <w:kern w:val="1"/>
          <w:szCs w:val="20"/>
          <w:lang w:eastAsia="ar-SA"/>
        </w:rPr>
        <w:t xml:space="preserve">ncarico di supporto al Sindaco </w:t>
      </w:r>
      <w:r w:rsidRPr="008E761E">
        <w:rPr>
          <w:rFonts w:eastAsia="Times New Roman"/>
          <w:i/>
          <w:spacing w:val="2"/>
          <w:kern w:val="1"/>
          <w:szCs w:val="20"/>
          <w:lang w:eastAsia="ar-SA"/>
        </w:rPr>
        <w:t>a personale in quiescenza, purché il medesimo non abbia ad oggetto l’espletamento di funzioni direttive, dirigenziali, di studio o di consulenza</w:t>
      </w:r>
      <w:r>
        <w:rPr>
          <w:rFonts w:eastAsia="Times New Roman"/>
          <w:spacing w:val="2"/>
          <w:kern w:val="1"/>
          <w:szCs w:val="20"/>
          <w:lang w:eastAsia="ar-SA"/>
        </w:rPr>
        <w:t xml:space="preserve">” (SRC Liguria, deliberazione n. </w:t>
      </w:r>
      <w:r w:rsidR="009468AA">
        <w:rPr>
          <w:rFonts w:eastAsia="Times New Roman"/>
          <w:spacing w:val="2"/>
          <w:kern w:val="1"/>
          <w:szCs w:val="20"/>
          <w:lang w:eastAsia="ar-SA"/>
        </w:rPr>
        <w:t>27/2016/PAR; sul punto cfr</w:t>
      </w:r>
      <w:r>
        <w:rPr>
          <w:rFonts w:eastAsia="Times New Roman"/>
          <w:spacing w:val="2"/>
          <w:kern w:val="1"/>
          <w:szCs w:val="20"/>
          <w:lang w:eastAsia="ar-SA"/>
        </w:rPr>
        <w:t>.</w:t>
      </w:r>
      <w:r w:rsidR="000E54EA">
        <w:rPr>
          <w:rFonts w:eastAsia="Times New Roman"/>
          <w:spacing w:val="2"/>
          <w:kern w:val="1"/>
          <w:szCs w:val="20"/>
          <w:lang w:eastAsia="ar-SA"/>
        </w:rPr>
        <w:t xml:space="preserve"> SRC Calabria, deliberazione n. 27/2018/PAR e SRC Umbria, deliberazione n. 77/2018/PAR).   </w:t>
      </w:r>
    </w:p>
    <w:p w14:paraId="12335B6F" w14:textId="425BA8F9" w:rsidR="00734CE6" w:rsidRDefault="007A3119" w:rsidP="00155BCD">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 xml:space="preserve">Per quanto riguarda il carattere oneroso dell’affidamento, invece, l’Ente </w:t>
      </w:r>
      <w:proofErr w:type="spellStart"/>
      <w:r w:rsidRPr="007A3119">
        <w:rPr>
          <w:rFonts w:eastAsia="Times New Roman"/>
          <w:i/>
          <w:spacing w:val="2"/>
          <w:kern w:val="1"/>
          <w:szCs w:val="20"/>
          <w:lang w:eastAsia="ar-SA"/>
        </w:rPr>
        <w:t>quaerens</w:t>
      </w:r>
      <w:proofErr w:type="spellEnd"/>
      <w:r w:rsidR="001F1FF0" w:rsidRPr="007A3119">
        <w:rPr>
          <w:rFonts w:eastAsia="Times New Roman"/>
          <w:i/>
          <w:spacing w:val="2"/>
          <w:kern w:val="1"/>
          <w:szCs w:val="20"/>
          <w:lang w:eastAsia="ar-SA"/>
        </w:rPr>
        <w:t xml:space="preserve"> </w:t>
      </w:r>
      <w:r>
        <w:rPr>
          <w:rFonts w:eastAsia="Times New Roman"/>
          <w:spacing w:val="2"/>
          <w:kern w:val="1"/>
          <w:szCs w:val="20"/>
          <w:lang w:eastAsia="ar-SA"/>
        </w:rPr>
        <w:t>specifica che il personale in quiescenza, c</w:t>
      </w:r>
      <w:r w:rsidR="006D3456">
        <w:rPr>
          <w:rFonts w:eastAsia="Times New Roman"/>
          <w:spacing w:val="2"/>
          <w:kern w:val="1"/>
          <w:szCs w:val="20"/>
          <w:lang w:eastAsia="ar-SA"/>
        </w:rPr>
        <w:t>on il quale</w:t>
      </w:r>
      <w:r>
        <w:rPr>
          <w:rFonts w:eastAsia="Times New Roman"/>
          <w:spacing w:val="2"/>
          <w:kern w:val="1"/>
          <w:szCs w:val="20"/>
          <w:lang w:eastAsia="ar-SA"/>
        </w:rPr>
        <w:t xml:space="preserve"> </w:t>
      </w:r>
      <w:r w:rsidR="006D3456">
        <w:rPr>
          <w:rFonts w:eastAsia="Times New Roman"/>
          <w:spacing w:val="2"/>
          <w:kern w:val="1"/>
          <w:szCs w:val="20"/>
          <w:lang w:eastAsia="ar-SA"/>
        </w:rPr>
        <w:t xml:space="preserve">si intende costituire </w:t>
      </w:r>
      <w:r>
        <w:rPr>
          <w:rFonts w:eastAsia="Times New Roman"/>
          <w:spacing w:val="2"/>
          <w:kern w:val="1"/>
          <w:szCs w:val="20"/>
          <w:lang w:eastAsia="ar-SA"/>
        </w:rPr>
        <w:t>l’</w:t>
      </w:r>
      <w:r w:rsidR="009468AA">
        <w:rPr>
          <w:rFonts w:eastAsia="Times New Roman"/>
          <w:spacing w:val="2"/>
          <w:kern w:val="1"/>
          <w:szCs w:val="20"/>
          <w:lang w:eastAsia="ar-SA"/>
        </w:rPr>
        <w:t xml:space="preserve">ufficio </w:t>
      </w:r>
      <w:r w:rsidR="006E3F8B">
        <w:rPr>
          <w:rFonts w:eastAsia="Times New Roman"/>
          <w:spacing w:val="2"/>
          <w:kern w:val="1"/>
          <w:szCs w:val="20"/>
          <w:lang w:eastAsia="ar-SA"/>
        </w:rPr>
        <w:t>“</w:t>
      </w:r>
      <w:r w:rsidR="009468AA">
        <w:rPr>
          <w:rFonts w:eastAsia="Times New Roman"/>
          <w:spacing w:val="2"/>
          <w:kern w:val="1"/>
          <w:szCs w:val="20"/>
          <w:lang w:eastAsia="ar-SA"/>
        </w:rPr>
        <w:t>di staff</w:t>
      </w:r>
      <w:r w:rsidR="006E3F8B">
        <w:rPr>
          <w:rFonts w:eastAsia="Times New Roman"/>
          <w:spacing w:val="2"/>
          <w:kern w:val="1"/>
          <w:szCs w:val="20"/>
          <w:lang w:eastAsia="ar-SA"/>
        </w:rPr>
        <w:t>”</w:t>
      </w:r>
      <w:r>
        <w:rPr>
          <w:rFonts w:eastAsia="Times New Roman"/>
          <w:spacing w:val="2"/>
          <w:kern w:val="1"/>
          <w:szCs w:val="20"/>
          <w:lang w:eastAsia="ar-SA"/>
        </w:rPr>
        <w:t>,</w:t>
      </w:r>
      <w:r w:rsidR="006D3456">
        <w:rPr>
          <w:rFonts w:eastAsia="Times New Roman"/>
          <w:spacing w:val="2"/>
          <w:kern w:val="1"/>
          <w:szCs w:val="20"/>
          <w:lang w:eastAsia="ar-SA"/>
        </w:rPr>
        <w:t xml:space="preserve"> sarà assunto</w:t>
      </w:r>
      <w:r>
        <w:rPr>
          <w:rFonts w:eastAsia="Times New Roman"/>
          <w:spacing w:val="2"/>
          <w:kern w:val="1"/>
          <w:szCs w:val="20"/>
          <w:lang w:eastAsia="ar-SA"/>
        </w:rPr>
        <w:t xml:space="preserve"> con </w:t>
      </w:r>
      <w:r w:rsidR="006D3456">
        <w:rPr>
          <w:rFonts w:eastAsia="Times New Roman"/>
          <w:spacing w:val="2"/>
          <w:kern w:val="1"/>
          <w:szCs w:val="20"/>
          <w:lang w:eastAsia="ar-SA"/>
        </w:rPr>
        <w:t xml:space="preserve">contratto di lavoro a tempo determinato, con conseguente applicazione del CCNL </w:t>
      </w:r>
      <w:r w:rsidR="008415AC">
        <w:rPr>
          <w:rFonts w:eastAsia="Times New Roman"/>
          <w:spacing w:val="2"/>
          <w:kern w:val="1"/>
          <w:szCs w:val="20"/>
          <w:lang w:eastAsia="ar-SA"/>
        </w:rPr>
        <w:t>del personale degli enti locali</w:t>
      </w:r>
      <w:r w:rsidR="00E63A92">
        <w:rPr>
          <w:rFonts w:eastAsia="Times New Roman"/>
          <w:spacing w:val="2"/>
          <w:kern w:val="1"/>
          <w:szCs w:val="20"/>
          <w:lang w:eastAsia="ar-SA"/>
        </w:rPr>
        <w:t xml:space="preserve"> ed</w:t>
      </w:r>
      <w:r w:rsidR="006D3456">
        <w:rPr>
          <w:rFonts w:eastAsia="Times New Roman"/>
          <w:spacing w:val="2"/>
          <w:kern w:val="1"/>
          <w:szCs w:val="20"/>
          <w:lang w:eastAsia="ar-SA"/>
        </w:rPr>
        <w:t xml:space="preserve"> inquadramento nella categoria “C</w:t>
      </w:r>
      <w:r w:rsidR="0021513F">
        <w:rPr>
          <w:rFonts w:eastAsia="Times New Roman"/>
          <w:spacing w:val="2"/>
          <w:kern w:val="1"/>
          <w:szCs w:val="20"/>
          <w:lang w:eastAsia="ar-SA"/>
        </w:rPr>
        <w:t xml:space="preserve">”. </w:t>
      </w:r>
    </w:p>
    <w:p w14:paraId="39FD7C6A" w14:textId="6E12F102" w:rsidR="000E54EA" w:rsidRPr="008415AC" w:rsidRDefault="000E54EA" w:rsidP="00155BCD">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 xml:space="preserve">In merito </w:t>
      </w:r>
      <w:r w:rsidR="006309CC">
        <w:rPr>
          <w:rFonts w:eastAsia="Times New Roman"/>
          <w:spacing w:val="2"/>
          <w:kern w:val="1"/>
          <w:szCs w:val="20"/>
          <w:lang w:eastAsia="ar-SA"/>
        </w:rPr>
        <w:t>al carattere oneroso</w:t>
      </w:r>
      <w:r w:rsidR="00946B42">
        <w:rPr>
          <w:rFonts w:eastAsia="Times New Roman"/>
          <w:spacing w:val="2"/>
          <w:kern w:val="1"/>
          <w:szCs w:val="20"/>
          <w:lang w:eastAsia="ar-SA"/>
        </w:rPr>
        <w:t xml:space="preserve"> dell’incarico ex art. 90 TUEL</w:t>
      </w:r>
      <w:r w:rsidR="00E63A92">
        <w:rPr>
          <w:rFonts w:eastAsia="Times New Roman"/>
          <w:spacing w:val="2"/>
          <w:kern w:val="1"/>
          <w:szCs w:val="20"/>
          <w:lang w:eastAsia="ar-SA"/>
        </w:rPr>
        <w:t xml:space="preserve"> </w:t>
      </w:r>
      <w:r w:rsidR="00946B42">
        <w:rPr>
          <w:rFonts w:eastAsia="Times New Roman"/>
          <w:spacing w:val="2"/>
          <w:kern w:val="1"/>
          <w:szCs w:val="20"/>
          <w:lang w:eastAsia="ar-SA"/>
        </w:rPr>
        <w:t xml:space="preserve">va </w:t>
      </w:r>
      <w:r w:rsidR="006309CC">
        <w:rPr>
          <w:rFonts w:eastAsia="Times New Roman"/>
          <w:spacing w:val="2"/>
          <w:kern w:val="1"/>
          <w:szCs w:val="20"/>
          <w:lang w:eastAsia="ar-SA"/>
        </w:rPr>
        <w:t>evidenzia</w:t>
      </w:r>
      <w:r w:rsidR="00946B42">
        <w:rPr>
          <w:rFonts w:eastAsia="Times New Roman"/>
          <w:spacing w:val="2"/>
          <w:kern w:val="1"/>
          <w:szCs w:val="20"/>
          <w:lang w:eastAsia="ar-SA"/>
        </w:rPr>
        <w:t>to</w:t>
      </w:r>
      <w:r w:rsidR="006309CC">
        <w:rPr>
          <w:rFonts w:eastAsia="Times New Roman"/>
          <w:spacing w:val="2"/>
          <w:kern w:val="1"/>
          <w:szCs w:val="20"/>
          <w:lang w:eastAsia="ar-SA"/>
        </w:rPr>
        <w:t xml:space="preserve"> che “</w:t>
      </w:r>
      <w:r w:rsidR="006309CC">
        <w:rPr>
          <w:rFonts w:eastAsia="Times New Roman"/>
          <w:i/>
          <w:spacing w:val="2"/>
          <w:kern w:val="1"/>
          <w:szCs w:val="20"/>
          <w:lang w:eastAsia="ar-SA"/>
        </w:rPr>
        <w:t xml:space="preserve">è da escludere la possibilità di corrispondere al personale dell’ufficio di staff il mero rimborso delle spese sostenute e debitamente documentate nell’esercizio </w:t>
      </w:r>
      <w:r w:rsidR="00A1259B">
        <w:rPr>
          <w:rFonts w:eastAsia="Times New Roman"/>
          <w:i/>
          <w:spacing w:val="2"/>
          <w:kern w:val="1"/>
          <w:szCs w:val="20"/>
          <w:lang w:eastAsia="ar-SA"/>
        </w:rPr>
        <w:t>dell’attività lavorativa, con esclusione di qualsiasi compenso o retribuzione per l’attività svolta</w:t>
      </w:r>
      <w:r w:rsidR="00FD7E45">
        <w:rPr>
          <w:rFonts w:eastAsia="Times New Roman"/>
          <w:spacing w:val="2"/>
          <w:kern w:val="1"/>
          <w:szCs w:val="20"/>
          <w:lang w:eastAsia="ar-SA"/>
        </w:rPr>
        <w:t>” (SRC Piemonte, deliberazione n. 312/2013/PAR)</w:t>
      </w:r>
      <w:r w:rsidR="007024B4">
        <w:rPr>
          <w:rFonts w:eastAsia="Times New Roman"/>
          <w:spacing w:val="2"/>
          <w:kern w:val="1"/>
          <w:szCs w:val="20"/>
          <w:lang w:eastAsia="ar-SA"/>
        </w:rPr>
        <w:t xml:space="preserve"> in quanto si violerebbe il disposto </w:t>
      </w:r>
      <w:r w:rsidR="008415AC">
        <w:rPr>
          <w:rFonts w:eastAsia="Times New Roman"/>
          <w:spacing w:val="2"/>
          <w:kern w:val="1"/>
          <w:szCs w:val="20"/>
          <w:lang w:eastAsia="ar-SA"/>
        </w:rPr>
        <w:t xml:space="preserve">dell’art. 90, comma 2, </w:t>
      </w:r>
      <w:r w:rsidR="00C519B5">
        <w:rPr>
          <w:rFonts w:eastAsia="Times New Roman"/>
          <w:spacing w:val="2"/>
          <w:kern w:val="1"/>
          <w:szCs w:val="20"/>
          <w:lang w:eastAsia="ar-SA"/>
        </w:rPr>
        <w:t>TUEL</w:t>
      </w:r>
      <w:r w:rsidR="008415AC">
        <w:rPr>
          <w:rFonts w:eastAsia="Times New Roman"/>
          <w:spacing w:val="2"/>
          <w:kern w:val="1"/>
          <w:szCs w:val="20"/>
          <w:lang w:eastAsia="ar-SA"/>
        </w:rPr>
        <w:t>, il quale dispone espressamente che “</w:t>
      </w:r>
      <w:r w:rsidR="008415AC">
        <w:rPr>
          <w:rFonts w:eastAsia="Times New Roman"/>
          <w:i/>
          <w:spacing w:val="2"/>
          <w:kern w:val="1"/>
          <w:szCs w:val="20"/>
          <w:lang w:eastAsia="ar-SA"/>
        </w:rPr>
        <w:t>al personale assunto con contratto di lavoro subordinato a tempo determinato si applica il contratto collettivo nazionale di lavoro del personale degli enti locali</w:t>
      </w:r>
      <w:r w:rsidR="008415AC">
        <w:rPr>
          <w:rFonts w:eastAsia="Times New Roman"/>
          <w:spacing w:val="2"/>
          <w:kern w:val="1"/>
          <w:szCs w:val="20"/>
          <w:lang w:eastAsia="ar-SA"/>
        </w:rPr>
        <w:t>”.</w:t>
      </w:r>
    </w:p>
    <w:p w14:paraId="24230BE7" w14:textId="77777777" w:rsidR="00CF2FDC" w:rsidRPr="00FD7E45" w:rsidRDefault="00CF2FDC" w:rsidP="00155BCD">
      <w:pPr>
        <w:pStyle w:val="Paragrafoelenco"/>
        <w:suppressAutoHyphens/>
        <w:spacing w:after="0" w:line="360" w:lineRule="auto"/>
        <w:ind w:left="567" w:firstLine="709"/>
        <w:textAlignment w:val="baseline"/>
        <w:rPr>
          <w:rFonts w:eastAsia="Times New Roman"/>
          <w:spacing w:val="2"/>
          <w:kern w:val="1"/>
          <w:szCs w:val="20"/>
          <w:lang w:eastAsia="ar-SA"/>
        </w:rPr>
      </w:pPr>
    </w:p>
    <w:p w14:paraId="7658C570" w14:textId="1598B684" w:rsidR="00D26628" w:rsidRDefault="00266867" w:rsidP="00D26628">
      <w:pPr>
        <w:pStyle w:val="Paragrafoelenco"/>
        <w:suppressAutoHyphens/>
        <w:spacing w:after="0" w:line="360" w:lineRule="auto"/>
        <w:ind w:left="567" w:firstLine="709"/>
        <w:textAlignment w:val="baseline"/>
        <w:rPr>
          <w:rFonts w:eastAsia="Times New Roman"/>
          <w:spacing w:val="2"/>
          <w:kern w:val="1"/>
          <w:szCs w:val="20"/>
          <w:lang w:eastAsia="ar-SA"/>
        </w:rPr>
      </w:pPr>
      <w:r w:rsidRPr="00266867">
        <w:rPr>
          <w:rFonts w:eastAsia="Times New Roman"/>
          <w:spacing w:val="2"/>
          <w:kern w:val="1"/>
          <w:szCs w:val="20"/>
          <w:lang w:eastAsia="ar-SA"/>
        </w:rPr>
        <w:t>I</w:t>
      </w:r>
      <w:r>
        <w:rPr>
          <w:rFonts w:eastAsia="Times New Roman"/>
          <w:spacing w:val="2"/>
          <w:kern w:val="1"/>
          <w:szCs w:val="20"/>
          <w:lang w:eastAsia="ar-SA"/>
        </w:rPr>
        <w:t>n con</w:t>
      </w:r>
      <w:r w:rsidR="00ED66F5">
        <w:rPr>
          <w:rFonts w:eastAsia="Times New Roman"/>
          <w:spacing w:val="2"/>
          <w:kern w:val="1"/>
          <w:szCs w:val="20"/>
          <w:lang w:eastAsia="ar-SA"/>
        </w:rPr>
        <w:t>siderazione dell’espresso richiamo</w:t>
      </w:r>
      <w:r>
        <w:rPr>
          <w:rFonts w:eastAsia="Times New Roman"/>
          <w:spacing w:val="2"/>
          <w:kern w:val="1"/>
          <w:szCs w:val="20"/>
          <w:lang w:eastAsia="ar-SA"/>
        </w:rPr>
        <w:t xml:space="preserve"> </w:t>
      </w:r>
      <w:r w:rsidR="008415AC">
        <w:rPr>
          <w:rFonts w:eastAsia="Times New Roman"/>
          <w:spacing w:val="2"/>
          <w:kern w:val="1"/>
          <w:szCs w:val="20"/>
          <w:lang w:eastAsia="ar-SA"/>
        </w:rPr>
        <w:t>alla fonte secondaria contenuto nel</w:t>
      </w:r>
      <w:r>
        <w:rPr>
          <w:rFonts w:eastAsia="Times New Roman"/>
          <w:spacing w:val="2"/>
          <w:kern w:val="1"/>
          <w:szCs w:val="20"/>
          <w:lang w:eastAsia="ar-SA"/>
        </w:rPr>
        <w:t>l’art. 90</w:t>
      </w:r>
      <w:r w:rsidR="008415AC">
        <w:rPr>
          <w:rFonts w:eastAsia="Times New Roman"/>
          <w:spacing w:val="2"/>
          <w:kern w:val="1"/>
          <w:szCs w:val="20"/>
          <w:lang w:eastAsia="ar-SA"/>
        </w:rPr>
        <w:t>, comma 1, TUEL</w:t>
      </w:r>
      <w:r w:rsidR="00B8475F">
        <w:rPr>
          <w:rFonts w:eastAsia="Times New Roman"/>
          <w:spacing w:val="2"/>
          <w:kern w:val="1"/>
          <w:szCs w:val="20"/>
          <w:lang w:eastAsia="ar-SA"/>
        </w:rPr>
        <w:t>,</w:t>
      </w:r>
      <w:r>
        <w:rPr>
          <w:rFonts w:eastAsia="Times New Roman"/>
          <w:spacing w:val="2"/>
          <w:kern w:val="1"/>
          <w:szCs w:val="20"/>
          <w:lang w:eastAsia="ar-SA"/>
        </w:rPr>
        <w:t xml:space="preserve"> il </w:t>
      </w:r>
      <w:r w:rsidRPr="00266867">
        <w:rPr>
          <w:rFonts w:eastAsia="Times New Roman"/>
          <w:spacing w:val="2"/>
          <w:kern w:val="1"/>
          <w:szCs w:val="20"/>
          <w:lang w:eastAsia="ar-SA"/>
        </w:rPr>
        <w:t>presupposto</w:t>
      </w:r>
      <w:r>
        <w:rPr>
          <w:rFonts w:eastAsia="Times New Roman"/>
          <w:spacing w:val="2"/>
          <w:kern w:val="1"/>
          <w:szCs w:val="20"/>
          <w:lang w:eastAsia="ar-SA"/>
        </w:rPr>
        <w:t xml:space="preserve"> per la costituzione degli uffici c.d. </w:t>
      </w:r>
      <w:r w:rsidR="00ED66F5">
        <w:rPr>
          <w:rFonts w:eastAsia="Times New Roman"/>
          <w:spacing w:val="2"/>
          <w:kern w:val="1"/>
          <w:szCs w:val="20"/>
          <w:lang w:eastAsia="ar-SA"/>
        </w:rPr>
        <w:t>“</w:t>
      </w:r>
      <w:r>
        <w:rPr>
          <w:rFonts w:eastAsia="Times New Roman"/>
          <w:spacing w:val="2"/>
          <w:kern w:val="1"/>
          <w:szCs w:val="20"/>
          <w:lang w:eastAsia="ar-SA"/>
        </w:rPr>
        <w:t>di staff</w:t>
      </w:r>
      <w:r w:rsidR="00ED66F5">
        <w:rPr>
          <w:rFonts w:eastAsia="Times New Roman"/>
          <w:spacing w:val="2"/>
          <w:kern w:val="1"/>
          <w:szCs w:val="20"/>
          <w:lang w:eastAsia="ar-SA"/>
        </w:rPr>
        <w:t>”</w:t>
      </w:r>
      <w:r>
        <w:rPr>
          <w:rFonts w:eastAsia="Times New Roman"/>
          <w:spacing w:val="2"/>
          <w:kern w:val="1"/>
          <w:szCs w:val="20"/>
          <w:lang w:eastAsia="ar-SA"/>
        </w:rPr>
        <w:t xml:space="preserve"> è costituito dal Regolamento sull’ordinamento degli uffici e dei servizi. Il Comune di Barile</w:t>
      </w:r>
      <w:r w:rsidR="00D26628">
        <w:rPr>
          <w:rFonts w:eastAsia="Times New Roman"/>
          <w:spacing w:val="2"/>
          <w:kern w:val="1"/>
          <w:szCs w:val="20"/>
          <w:lang w:eastAsia="ar-SA"/>
        </w:rPr>
        <w:t>, in ossequio ai principi contenuti nell’art. 48, comma 3</w:t>
      </w:r>
      <w:r w:rsidR="00156ABB">
        <w:rPr>
          <w:rFonts w:eastAsia="Times New Roman"/>
          <w:spacing w:val="2"/>
          <w:kern w:val="1"/>
          <w:szCs w:val="20"/>
          <w:lang w:eastAsia="ar-SA"/>
        </w:rPr>
        <w:t>,</w:t>
      </w:r>
      <w:r w:rsidR="00D26628">
        <w:rPr>
          <w:rFonts w:eastAsia="Times New Roman"/>
          <w:spacing w:val="2"/>
          <w:kern w:val="1"/>
          <w:szCs w:val="20"/>
          <w:lang w:eastAsia="ar-SA"/>
        </w:rPr>
        <w:t xml:space="preserve"> e nell’art. 89 TUEL, ha approvato, con delibera di Giunta comunale n. 9</w:t>
      </w:r>
      <w:r w:rsidR="00156ABB">
        <w:rPr>
          <w:rFonts w:eastAsia="Times New Roman"/>
          <w:spacing w:val="2"/>
          <w:kern w:val="1"/>
          <w:szCs w:val="20"/>
          <w:lang w:eastAsia="ar-SA"/>
        </w:rPr>
        <w:t xml:space="preserve">7 del 4 novembre </w:t>
      </w:r>
      <w:r w:rsidR="00D26628">
        <w:rPr>
          <w:rFonts w:eastAsia="Times New Roman"/>
          <w:spacing w:val="2"/>
          <w:kern w:val="1"/>
          <w:szCs w:val="20"/>
          <w:lang w:eastAsia="ar-SA"/>
        </w:rPr>
        <w:t>2011, poi modificato con delibere di</w:t>
      </w:r>
      <w:r w:rsidR="00156ABB">
        <w:rPr>
          <w:rFonts w:eastAsia="Times New Roman"/>
          <w:spacing w:val="2"/>
          <w:kern w:val="1"/>
          <w:szCs w:val="20"/>
          <w:lang w:eastAsia="ar-SA"/>
        </w:rPr>
        <w:t xml:space="preserve"> Giunta comunale n. 24 del 17 aprile 2012 e n. 45 del 10 giugno </w:t>
      </w:r>
      <w:r w:rsidR="00D26628">
        <w:rPr>
          <w:rFonts w:eastAsia="Times New Roman"/>
          <w:spacing w:val="2"/>
          <w:kern w:val="1"/>
          <w:szCs w:val="20"/>
          <w:lang w:eastAsia="ar-SA"/>
        </w:rPr>
        <w:t xml:space="preserve">2013, detto Regolamento, il quale, all’art. 39, </w:t>
      </w:r>
      <w:r w:rsidR="00156ABB">
        <w:rPr>
          <w:rFonts w:eastAsia="Times New Roman"/>
          <w:spacing w:val="2"/>
          <w:kern w:val="1"/>
          <w:szCs w:val="20"/>
          <w:lang w:eastAsia="ar-SA"/>
        </w:rPr>
        <w:t xml:space="preserve">reca la </w:t>
      </w:r>
      <w:r w:rsidR="00D26628">
        <w:rPr>
          <w:rFonts w:eastAsia="Times New Roman"/>
          <w:spacing w:val="2"/>
          <w:kern w:val="1"/>
          <w:szCs w:val="20"/>
          <w:lang w:eastAsia="ar-SA"/>
        </w:rPr>
        <w:t xml:space="preserve">disciplina </w:t>
      </w:r>
      <w:r w:rsidR="00156ABB">
        <w:rPr>
          <w:rFonts w:eastAsia="Times New Roman"/>
          <w:spacing w:val="2"/>
          <w:kern w:val="1"/>
          <w:szCs w:val="20"/>
          <w:lang w:eastAsia="ar-SA"/>
        </w:rPr>
        <w:t>de</w:t>
      </w:r>
      <w:r w:rsidR="00D26628">
        <w:rPr>
          <w:rFonts w:eastAsia="Times New Roman"/>
          <w:spacing w:val="2"/>
          <w:kern w:val="1"/>
          <w:szCs w:val="20"/>
          <w:lang w:eastAsia="ar-SA"/>
        </w:rPr>
        <w:t>gli uffici posti alle dirette dipendenze degli organi politici. Tale disposizione stabilisce</w:t>
      </w:r>
      <w:r w:rsidR="00B8475F">
        <w:rPr>
          <w:rFonts w:eastAsia="Times New Roman"/>
          <w:spacing w:val="2"/>
          <w:kern w:val="1"/>
          <w:szCs w:val="20"/>
          <w:lang w:eastAsia="ar-SA"/>
        </w:rPr>
        <w:t>, tra l’altro,</w:t>
      </w:r>
      <w:r w:rsidR="00D26628">
        <w:rPr>
          <w:rFonts w:eastAsia="Times New Roman"/>
          <w:spacing w:val="2"/>
          <w:kern w:val="1"/>
          <w:szCs w:val="20"/>
          <w:lang w:eastAsia="ar-SA"/>
        </w:rPr>
        <w:t xml:space="preserve"> che “</w:t>
      </w:r>
      <w:r w:rsidR="00D26628" w:rsidRPr="00B8475F">
        <w:rPr>
          <w:rFonts w:eastAsia="Times New Roman"/>
          <w:i/>
          <w:spacing w:val="2"/>
          <w:kern w:val="1"/>
          <w:szCs w:val="20"/>
          <w:lang w:eastAsia="ar-SA"/>
        </w:rPr>
        <w:t>Il Sindaco, indipendentemente dalle previsioni della dotazione organica, ha facoltà di istituire uffici posti alle sue dirette dipendenze quali: a) la Segreteria particolare; b) l’Ufficio stampa; c) l’ufficio gabinetto.</w:t>
      </w:r>
      <w:r w:rsidR="00D26628">
        <w:rPr>
          <w:rFonts w:eastAsia="Times New Roman"/>
          <w:spacing w:val="2"/>
          <w:kern w:val="1"/>
          <w:szCs w:val="20"/>
          <w:lang w:eastAsia="ar-SA"/>
        </w:rPr>
        <w:t>”.</w:t>
      </w:r>
      <w:r w:rsidR="00B8475F">
        <w:rPr>
          <w:rFonts w:eastAsia="Times New Roman"/>
          <w:spacing w:val="2"/>
          <w:kern w:val="1"/>
          <w:szCs w:val="20"/>
          <w:lang w:eastAsia="ar-SA"/>
        </w:rPr>
        <w:t xml:space="preserve"> In via incidentale si rileva che la disposizione testé richiamata considera il personale di supporto agli org</w:t>
      </w:r>
      <w:r w:rsidR="00156ABB">
        <w:rPr>
          <w:rFonts w:eastAsia="Times New Roman"/>
          <w:spacing w:val="2"/>
          <w:kern w:val="1"/>
          <w:szCs w:val="20"/>
          <w:lang w:eastAsia="ar-SA"/>
        </w:rPr>
        <w:t>ani politici come non doversi considerare calcolabile</w:t>
      </w:r>
      <w:r w:rsidR="00B8475F">
        <w:rPr>
          <w:rFonts w:eastAsia="Times New Roman"/>
          <w:spacing w:val="2"/>
          <w:kern w:val="1"/>
          <w:szCs w:val="20"/>
          <w:lang w:eastAsia="ar-SA"/>
        </w:rPr>
        <w:t xml:space="preserve"> nella dotazione organica dell’Ente</w:t>
      </w:r>
      <w:r w:rsidR="00A41F5D">
        <w:rPr>
          <w:rFonts w:eastAsia="Times New Roman"/>
          <w:spacing w:val="2"/>
          <w:kern w:val="1"/>
          <w:szCs w:val="20"/>
          <w:lang w:eastAsia="ar-SA"/>
        </w:rPr>
        <w:t xml:space="preserve">. Ciò in contrasto a quanto affermato dalla </w:t>
      </w:r>
      <w:r w:rsidR="00A41F5D">
        <w:rPr>
          <w:rFonts w:eastAsia="Times New Roman"/>
          <w:spacing w:val="2"/>
          <w:kern w:val="1"/>
          <w:szCs w:val="20"/>
          <w:lang w:eastAsia="ar-SA"/>
        </w:rPr>
        <w:lastRenderedPageBreak/>
        <w:t>giurisprudenza contabile innanzi richiamata, la quale ha, da tempo, messo in evidenza la sostanziale differenza tra le figure designate dall’art. 90 TUEL e quelle designate dall’art. 110 TUEL.</w:t>
      </w:r>
      <w:r w:rsidR="00D31515">
        <w:rPr>
          <w:rFonts w:eastAsia="Times New Roman"/>
          <w:spacing w:val="2"/>
          <w:kern w:val="1"/>
          <w:szCs w:val="20"/>
          <w:lang w:eastAsia="ar-SA"/>
        </w:rPr>
        <w:t xml:space="preserve"> </w:t>
      </w:r>
    </w:p>
    <w:p w14:paraId="6D8A15A7" w14:textId="1C9E2057" w:rsidR="00D31515" w:rsidRDefault="00D31515" w:rsidP="00D26628">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 xml:space="preserve"> Si è già ricordato in precedenza come la giurisprudenza contabile ritenga la sussistenza di un regolamento, che configuri la possibilità di istituire </w:t>
      </w:r>
      <w:r w:rsidR="00770279">
        <w:rPr>
          <w:rFonts w:eastAsia="Times New Roman"/>
          <w:spacing w:val="2"/>
          <w:kern w:val="1"/>
          <w:szCs w:val="20"/>
          <w:lang w:eastAsia="ar-SA"/>
        </w:rPr>
        <w:t>questa tipologia di ufficio, come</w:t>
      </w:r>
      <w:r>
        <w:rPr>
          <w:rFonts w:eastAsia="Times New Roman"/>
          <w:spacing w:val="2"/>
          <w:kern w:val="1"/>
          <w:szCs w:val="20"/>
          <w:lang w:eastAsia="ar-SA"/>
        </w:rPr>
        <w:t xml:space="preserve"> un presupposto necessario ma non sufficiente. </w:t>
      </w:r>
      <w:r w:rsidR="00070217">
        <w:rPr>
          <w:rFonts w:eastAsia="Times New Roman"/>
          <w:spacing w:val="2"/>
          <w:kern w:val="1"/>
          <w:szCs w:val="20"/>
          <w:lang w:eastAsia="ar-SA"/>
        </w:rPr>
        <w:t>Infatti, l</w:t>
      </w:r>
      <w:r>
        <w:rPr>
          <w:rFonts w:eastAsia="Times New Roman"/>
          <w:spacing w:val="2"/>
          <w:kern w:val="1"/>
          <w:szCs w:val="20"/>
          <w:lang w:eastAsia="ar-SA"/>
        </w:rPr>
        <w:t>’art. 90 TUEL</w:t>
      </w:r>
      <w:r w:rsidR="00070217">
        <w:rPr>
          <w:rFonts w:eastAsia="Times New Roman"/>
          <w:spacing w:val="2"/>
          <w:kern w:val="1"/>
          <w:szCs w:val="20"/>
          <w:lang w:eastAsia="ar-SA"/>
        </w:rPr>
        <w:t xml:space="preserve"> </w:t>
      </w:r>
      <w:r w:rsidR="00592D11">
        <w:rPr>
          <w:rFonts w:eastAsia="Times New Roman"/>
          <w:spacing w:val="2"/>
          <w:kern w:val="1"/>
          <w:szCs w:val="20"/>
          <w:lang w:eastAsia="ar-SA"/>
        </w:rPr>
        <w:t xml:space="preserve"> </w:t>
      </w:r>
      <w:r w:rsidR="001247E6">
        <w:rPr>
          <w:rFonts w:eastAsia="Times New Roman"/>
          <w:spacing w:val="2"/>
          <w:kern w:val="1"/>
          <w:szCs w:val="20"/>
          <w:lang w:eastAsia="ar-SA"/>
        </w:rPr>
        <w:t>prevede quale opzione organizzativa la possibilità di costituire un ufficio  di supporto fiduciario agli organi di direzione politica</w:t>
      </w:r>
      <w:r w:rsidR="007D1E19">
        <w:rPr>
          <w:rFonts w:eastAsia="Times New Roman"/>
          <w:spacing w:val="2"/>
          <w:kern w:val="1"/>
          <w:szCs w:val="20"/>
          <w:lang w:eastAsia="ar-SA"/>
        </w:rPr>
        <w:t xml:space="preserve">, </w:t>
      </w:r>
      <w:r w:rsidR="001247E6">
        <w:rPr>
          <w:rFonts w:eastAsia="Times New Roman"/>
          <w:spacing w:val="2"/>
          <w:kern w:val="1"/>
          <w:szCs w:val="20"/>
          <w:lang w:eastAsia="ar-SA"/>
        </w:rPr>
        <w:t>attribuendo allo stesso</w:t>
      </w:r>
      <w:r w:rsidR="00070217">
        <w:rPr>
          <w:rFonts w:eastAsia="Times New Roman"/>
          <w:spacing w:val="2"/>
          <w:kern w:val="1"/>
          <w:szCs w:val="20"/>
          <w:lang w:eastAsia="ar-SA"/>
        </w:rPr>
        <w:t xml:space="preserve"> la funzione di corroborare il vertice istituzionale nell’esercizio delle funzioni di indirizzo e controllo </w:t>
      </w:r>
      <w:r w:rsidR="00357EDF">
        <w:rPr>
          <w:rFonts w:eastAsia="Times New Roman"/>
          <w:spacing w:val="2"/>
          <w:kern w:val="1"/>
          <w:szCs w:val="20"/>
          <w:lang w:eastAsia="ar-SA"/>
        </w:rPr>
        <w:t xml:space="preserve">di cui </w:t>
      </w:r>
      <w:r w:rsidR="00070217">
        <w:rPr>
          <w:rFonts w:eastAsia="Times New Roman"/>
          <w:spacing w:val="2"/>
          <w:kern w:val="1"/>
          <w:szCs w:val="20"/>
          <w:lang w:eastAsia="ar-SA"/>
        </w:rPr>
        <w:t xml:space="preserve"> è destinatario per legge</w:t>
      </w:r>
      <w:r w:rsidR="00900D1F">
        <w:rPr>
          <w:rFonts w:eastAsia="Times New Roman"/>
          <w:spacing w:val="2"/>
          <w:kern w:val="1"/>
          <w:szCs w:val="20"/>
          <w:lang w:eastAsia="ar-SA"/>
        </w:rPr>
        <w:t xml:space="preserve">; si </w:t>
      </w:r>
      <w:r w:rsidR="00156ABB">
        <w:rPr>
          <w:rFonts w:eastAsia="Times New Roman"/>
          <w:spacing w:val="2"/>
          <w:kern w:val="1"/>
          <w:szCs w:val="20"/>
          <w:lang w:eastAsia="ar-SA"/>
        </w:rPr>
        <w:t xml:space="preserve">deve </w:t>
      </w:r>
      <w:r w:rsidR="00900D1F">
        <w:rPr>
          <w:rFonts w:eastAsia="Times New Roman"/>
          <w:spacing w:val="2"/>
          <w:kern w:val="1"/>
          <w:szCs w:val="20"/>
          <w:lang w:eastAsia="ar-SA"/>
        </w:rPr>
        <w:t>tratta</w:t>
      </w:r>
      <w:r w:rsidR="00156ABB">
        <w:rPr>
          <w:rFonts w:eastAsia="Times New Roman"/>
          <w:spacing w:val="2"/>
          <w:kern w:val="1"/>
          <w:szCs w:val="20"/>
          <w:lang w:eastAsia="ar-SA"/>
        </w:rPr>
        <w:t>re di</w:t>
      </w:r>
      <w:r w:rsidR="00900D1F">
        <w:rPr>
          <w:rFonts w:eastAsia="Times New Roman"/>
          <w:spacing w:val="2"/>
          <w:kern w:val="1"/>
          <w:szCs w:val="20"/>
          <w:lang w:eastAsia="ar-SA"/>
        </w:rPr>
        <w:t xml:space="preserve"> ufficio che, da un lato, non può duplicare le competenze della struttura amministrativa, essendogli vietata l’effettuazione di attività gestion</w:t>
      </w:r>
      <w:r w:rsidR="00156ABB">
        <w:rPr>
          <w:rFonts w:eastAsia="Times New Roman"/>
          <w:spacing w:val="2"/>
          <w:kern w:val="1"/>
          <w:szCs w:val="20"/>
          <w:lang w:eastAsia="ar-SA"/>
        </w:rPr>
        <w:t>ale, e che, d’altro canto, in considerazione del</w:t>
      </w:r>
      <w:r w:rsidR="00900D1F">
        <w:rPr>
          <w:rFonts w:eastAsia="Times New Roman"/>
          <w:spacing w:val="2"/>
          <w:kern w:val="1"/>
          <w:szCs w:val="20"/>
          <w:lang w:eastAsia="ar-SA"/>
        </w:rPr>
        <w:t xml:space="preserve">la funzione di supporto </w:t>
      </w:r>
      <w:r w:rsidR="00156ABB">
        <w:rPr>
          <w:rFonts w:eastAsia="Times New Roman"/>
          <w:spacing w:val="2"/>
          <w:kern w:val="1"/>
          <w:szCs w:val="20"/>
          <w:lang w:eastAsia="ar-SA"/>
        </w:rPr>
        <w:t xml:space="preserve">da svolgere </w:t>
      </w:r>
      <w:r w:rsidR="00900D1F">
        <w:rPr>
          <w:rFonts w:eastAsia="Times New Roman"/>
          <w:spacing w:val="2"/>
          <w:kern w:val="1"/>
          <w:szCs w:val="20"/>
          <w:lang w:eastAsia="ar-SA"/>
        </w:rPr>
        <w:t>alle decisioni politic</w:t>
      </w:r>
      <w:r w:rsidR="00156ABB">
        <w:rPr>
          <w:rFonts w:eastAsia="Times New Roman"/>
          <w:spacing w:val="2"/>
          <w:kern w:val="1"/>
          <w:szCs w:val="20"/>
          <w:lang w:eastAsia="ar-SA"/>
        </w:rPr>
        <w:t>he che rimangono riservate all’O</w:t>
      </w:r>
      <w:r w:rsidR="00900D1F">
        <w:rPr>
          <w:rFonts w:eastAsia="Times New Roman"/>
          <w:spacing w:val="2"/>
          <w:kern w:val="1"/>
          <w:szCs w:val="20"/>
          <w:lang w:eastAsia="ar-SA"/>
        </w:rPr>
        <w:t>rgano di vertice “</w:t>
      </w:r>
      <w:r w:rsidR="00900D1F" w:rsidRPr="00900D1F">
        <w:rPr>
          <w:rFonts w:eastAsia="Times New Roman"/>
          <w:i/>
          <w:spacing w:val="2"/>
          <w:kern w:val="1"/>
          <w:szCs w:val="20"/>
          <w:lang w:eastAsia="ar-SA"/>
        </w:rPr>
        <w:t>è, per definizione, un ufficio eventuale e non necessario</w:t>
      </w:r>
      <w:r w:rsidR="00900D1F">
        <w:rPr>
          <w:rFonts w:eastAsia="Times New Roman"/>
          <w:spacing w:val="2"/>
          <w:kern w:val="1"/>
          <w:szCs w:val="20"/>
          <w:lang w:eastAsia="ar-SA"/>
        </w:rPr>
        <w:t>” (SRC Campania, deliberazione n. 213/2015/PAR). Inoltre</w:t>
      </w:r>
      <w:r w:rsidR="007D1E19">
        <w:rPr>
          <w:rFonts w:eastAsia="Times New Roman"/>
          <w:spacing w:val="2"/>
          <w:kern w:val="1"/>
          <w:szCs w:val="20"/>
          <w:lang w:eastAsia="ar-SA"/>
        </w:rPr>
        <w:t>,</w:t>
      </w:r>
      <w:r w:rsidR="00900D1F">
        <w:rPr>
          <w:rFonts w:eastAsia="Times New Roman"/>
          <w:spacing w:val="2"/>
          <w:kern w:val="1"/>
          <w:szCs w:val="20"/>
          <w:lang w:eastAsia="ar-SA"/>
        </w:rPr>
        <w:t xml:space="preserve"> l’articolo in parola, </w:t>
      </w:r>
      <w:r>
        <w:rPr>
          <w:rFonts w:eastAsia="Times New Roman"/>
          <w:spacing w:val="2"/>
          <w:kern w:val="1"/>
          <w:szCs w:val="20"/>
          <w:lang w:eastAsia="ar-SA"/>
        </w:rPr>
        <w:t>nel precisare le varie modalità di reperimento del personale</w:t>
      </w:r>
      <w:r w:rsidR="00900D1F">
        <w:rPr>
          <w:rFonts w:eastAsia="Times New Roman"/>
          <w:spacing w:val="2"/>
          <w:kern w:val="1"/>
          <w:szCs w:val="20"/>
          <w:lang w:eastAsia="ar-SA"/>
        </w:rPr>
        <w:t xml:space="preserve">, </w:t>
      </w:r>
      <w:r w:rsidR="00703169">
        <w:rPr>
          <w:rFonts w:eastAsia="Times New Roman"/>
          <w:spacing w:val="2"/>
          <w:kern w:val="1"/>
          <w:szCs w:val="20"/>
          <w:lang w:eastAsia="ar-SA"/>
        </w:rPr>
        <w:t>“</w:t>
      </w:r>
      <w:r w:rsidR="00900D1F" w:rsidRPr="00703169">
        <w:rPr>
          <w:rFonts w:eastAsia="Times New Roman"/>
          <w:i/>
          <w:spacing w:val="2"/>
          <w:kern w:val="1"/>
          <w:szCs w:val="20"/>
          <w:lang w:eastAsia="ar-SA"/>
        </w:rPr>
        <w:t>non pone alcun vincolo o limitazione in ordine all’entità della popolazione del Comune, o al dimensionamento degli uffici, né all’aspetto dell’esclusività delle mansioni attribuite al personale</w:t>
      </w:r>
      <w:r w:rsidR="00703169" w:rsidRPr="00703169">
        <w:rPr>
          <w:rFonts w:eastAsia="Times New Roman"/>
          <w:i/>
          <w:spacing w:val="2"/>
          <w:kern w:val="1"/>
          <w:szCs w:val="20"/>
          <w:lang w:eastAsia="ar-SA"/>
        </w:rPr>
        <w:t>. Si ritiene, pertanto, che tali scelte siano attribuite dalla legge agli Amministratori che dovranno valutare, nell’ambito del loro potere discrezionale lo schema organizzativo più adatto alle esigenze della comunità in modo che sia assicurato il necessario equilibrio fra le funzioni gestionali e operative e quelle di indirizzo e controllo, sulla base dei principi di sana gestione e di “adeguatezza” tenendo conto delle dimensioni del comune e della compatibilità dei conseguenti oneri finanziari ed economici.</w:t>
      </w:r>
      <w:r w:rsidR="00703169">
        <w:rPr>
          <w:rFonts w:eastAsia="Times New Roman"/>
          <w:spacing w:val="2"/>
          <w:kern w:val="1"/>
          <w:szCs w:val="20"/>
          <w:lang w:eastAsia="ar-SA"/>
        </w:rPr>
        <w:t>” (SRC Lombardia, deliberazione n. 43/2007/PAR).</w:t>
      </w:r>
    </w:p>
    <w:p w14:paraId="59941A11" w14:textId="77777777" w:rsidR="00E63A92" w:rsidRDefault="00E63A92" w:rsidP="00D26628">
      <w:pPr>
        <w:pStyle w:val="Paragrafoelenco"/>
        <w:suppressAutoHyphens/>
        <w:spacing w:after="0" w:line="360" w:lineRule="auto"/>
        <w:ind w:left="567" w:firstLine="709"/>
        <w:textAlignment w:val="baseline"/>
        <w:rPr>
          <w:rFonts w:eastAsia="Times New Roman"/>
          <w:spacing w:val="2"/>
          <w:kern w:val="1"/>
          <w:szCs w:val="20"/>
          <w:lang w:eastAsia="ar-SA"/>
        </w:rPr>
      </w:pPr>
    </w:p>
    <w:p w14:paraId="46C54769" w14:textId="291D665A" w:rsidR="00E63A92" w:rsidRDefault="00E63A92" w:rsidP="00D26628">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Per completezza di trattazione, infine, occorre ricordare che, qualora, come è enunciato nella richiesta di parere, l’Amministrazione comunale ricorra all’assunzione di personale esterno con contratto a tempo determinato</w:t>
      </w:r>
      <w:r w:rsidR="005260D5">
        <w:rPr>
          <w:rFonts w:eastAsia="Times New Roman"/>
          <w:spacing w:val="2"/>
          <w:kern w:val="1"/>
          <w:szCs w:val="20"/>
          <w:lang w:eastAsia="ar-SA"/>
        </w:rPr>
        <w:t>, deve in ogni caso computare tale onere nell’ambito delle spese di personale che sono soggette</w:t>
      </w:r>
      <w:r w:rsidR="000C181B">
        <w:rPr>
          <w:rFonts w:eastAsia="Times New Roman"/>
          <w:spacing w:val="2"/>
          <w:kern w:val="1"/>
          <w:szCs w:val="20"/>
          <w:lang w:eastAsia="ar-SA"/>
        </w:rPr>
        <w:t xml:space="preserve"> </w:t>
      </w:r>
      <w:r w:rsidR="000C181B" w:rsidRPr="00770EAD">
        <w:rPr>
          <w:rFonts w:eastAsia="Times New Roman"/>
          <w:spacing w:val="2"/>
          <w:kern w:val="1"/>
          <w:szCs w:val="20"/>
          <w:lang w:eastAsia="ar-SA"/>
        </w:rPr>
        <w:t xml:space="preserve">a </w:t>
      </w:r>
      <w:r w:rsidR="005260D5" w:rsidRPr="00770EAD">
        <w:rPr>
          <w:rFonts w:eastAsia="Times New Roman"/>
          <w:spacing w:val="2"/>
          <w:kern w:val="1"/>
          <w:szCs w:val="20"/>
          <w:lang w:eastAsia="ar-SA"/>
        </w:rPr>
        <w:t xml:space="preserve"> </w:t>
      </w:r>
      <w:r w:rsidR="000C181B" w:rsidRPr="00770EAD">
        <w:rPr>
          <w:rFonts w:eastAsia="Times New Roman"/>
          <w:spacing w:val="2"/>
          <w:kern w:val="1"/>
          <w:szCs w:val="20"/>
          <w:lang w:eastAsia="ar-SA"/>
        </w:rPr>
        <w:t>vincoli</w:t>
      </w:r>
      <w:r w:rsidR="000C181B">
        <w:rPr>
          <w:rFonts w:eastAsia="Times New Roman"/>
          <w:spacing w:val="2"/>
          <w:kern w:val="1"/>
          <w:szCs w:val="20"/>
          <w:lang w:eastAsia="ar-SA"/>
        </w:rPr>
        <w:t xml:space="preserve"> </w:t>
      </w:r>
      <w:r w:rsidR="005260D5">
        <w:rPr>
          <w:rFonts w:eastAsia="Times New Roman"/>
          <w:spacing w:val="2"/>
          <w:kern w:val="1"/>
          <w:szCs w:val="20"/>
          <w:lang w:eastAsia="ar-SA"/>
        </w:rPr>
        <w:t xml:space="preserve">normativi generali di contenimento, senza possibilità di introdurre alcuna esclusione, dal predetto computo, che non </w:t>
      </w:r>
      <w:r w:rsidR="00156ABB">
        <w:rPr>
          <w:rFonts w:eastAsia="Times New Roman"/>
          <w:spacing w:val="2"/>
          <w:kern w:val="1"/>
          <w:szCs w:val="20"/>
          <w:lang w:eastAsia="ar-SA"/>
        </w:rPr>
        <w:t>sia espressamente prevista dalla leg</w:t>
      </w:r>
      <w:r w:rsidR="005260D5">
        <w:rPr>
          <w:rFonts w:eastAsia="Times New Roman"/>
          <w:spacing w:val="2"/>
          <w:kern w:val="1"/>
          <w:szCs w:val="20"/>
          <w:lang w:eastAsia="ar-SA"/>
        </w:rPr>
        <w:t>i</w:t>
      </w:r>
      <w:r w:rsidR="00156ABB">
        <w:rPr>
          <w:rFonts w:eastAsia="Times New Roman"/>
          <w:spacing w:val="2"/>
          <w:kern w:val="1"/>
          <w:szCs w:val="20"/>
          <w:lang w:eastAsia="ar-SA"/>
        </w:rPr>
        <w:t>slazione</w:t>
      </w:r>
      <w:r w:rsidR="005260D5">
        <w:rPr>
          <w:rFonts w:eastAsia="Times New Roman"/>
          <w:spacing w:val="2"/>
          <w:kern w:val="1"/>
          <w:szCs w:val="20"/>
          <w:lang w:eastAsia="ar-SA"/>
        </w:rPr>
        <w:t xml:space="preserve"> di finanza pubblica. Ne consegue che, sul piano finanziario, la spesa sostenuta a tale titolo va computata sia ai fini della verifica del generale tetto di spesa per il personale, fissato dal comma 557 dell’art. 1 della legge n. 296/2006, sia ai fini della verifica del rispetto del tetto di spesa per i contratti di lavoro flessibile, fissato dal comma 28 dell’art. 9 del D.L. n. 78/2010</w:t>
      </w:r>
      <w:r w:rsidR="005260D5">
        <w:rPr>
          <w:rStyle w:val="Rimandonotaapidipagina"/>
          <w:rFonts w:eastAsia="Times New Roman"/>
          <w:spacing w:val="2"/>
          <w:kern w:val="1"/>
          <w:szCs w:val="20"/>
          <w:lang w:eastAsia="ar-SA"/>
        </w:rPr>
        <w:footnoteReference w:id="3"/>
      </w:r>
      <w:r w:rsidR="005260D5">
        <w:rPr>
          <w:rFonts w:eastAsia="Times New Roman"/>
          <w:spacing w:val="2"/>
          <w:kern w:val="1"/>
          <w:szCs w:val="20"/>
          <w:lang w:eastAsia="ar-SA"/>
        </w:rPr>
        <w:t>.</w:t>
      </w:r>
    </w:p>
    <w:p w14:paraId="34068410" w14:textId="79051694" w:rsidR="00655591" w:rsidRDefault="00655591" w:rsidP="00D26628">
      <w:pPr>
        <w:pStyle w:val="Paragrafoelenco"/>
        <w:suppressAutoHyphens/>
        <w:spacing w:after="0" w:line="360" w:lineRule="auto"/>
        <w:ind w:left="567" w:firstLine="709"/>
        <w:textAlignment w:val="baseline"/>
        <w:rPr>
          <w:rFonts w:eastAsia="Times New Roman"/>
          <w:spacing w:val="2"/>
          <w:kern w:val="1"/>
          <w:szCs w:val="20"/>
          <w:lang w:eastAsia="ar-SA"/>
        </w:rPr>
      </w:pPr>
    </w:p>
    <w:p w14:paraId="378FD9F9" w14:textId="6BF866F5" w:rsidR="00724D2E" w:rsidRDefault="00655591" w:rsidP="00724D2E">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In conclusione</w:t>
      </w:r>
      <w:r w:rsidR="00724D2E">
        <w:rPr>
          <w:rFonts w:eastAsia="Times New Roman"/>
          <w:spacing w:val="2"/>
          <w:kern w:val="1"/>
          <w:szCs w:val="20"/>
          <w:lang w:eastAsia="ar-SA"/>
        </w:rPr>
        <w:t>,</w:t>
      </w:r>
      <w:r>
        <w:rPr>
          <w:rFonts w:eastAsia="Times New Roman"/>
          <w:spacing w:val="2"/>
          <w:kern w:val="1"/>
          <w:szCs w:val="20"/>
          <w:lang w:eastAsia="ar-SA"/>
        </w:rPr>
        <w:t xml:space="preserve"> la Sezione ritiene che, essendo l’ufficio </w:t>
      </w:r>
      <w:r w:rsidR="00212459">
        <w:rPr>
          <w:rFonts w:eastAsia="Times New Roman"/>
          <w:spacing w:val="2"/>
          <w:kern w:val="1"/>
          <w:szCs w:val="20"/>
          <w:lang w:eastAsia="ar-SA"/>
        </w:rPr>
        <w:t>“</w:t>
      </w:r>
      <w:r>
        <w:rPr>
          <w:rFonts w:eastAsia="Times New Roman"/>
          <w:spacing w:val="2"/>
          <w:kern w:val="1"/>
          <w:szCs w:val="20"/>
          <w:lang w:eastAsia="ar-SA"/>
        </w:rPr>
        <w:t>di staff</w:t>
      </w:r>
      <w:r w:rsidR="00156ABB">
        <w:rPr>
          <w:rFonts w:eastAsia="Times New Roman"/>
          <w:spacing w:val="2"/>
          <w:kern w:val="1"/>
          <w:szCs w:val="20"/>
          <w:lang w:eastAsia="ar-SA"/>
        </w:rPr>
        <w:t>”</w:t>
      </w:r>
      <w:r>
        <w:rPr>
          <w:rFonts w:eastAsia="Times New Roman"/>
          <w:spacing w:val="2"/>
          <w:kern w:val="1"/>
          <w:szCs w:val="20"/>
          <w:lang w:eastAsia="ar-SA"/>
        </w:rPr>
        <w:t xml:space="preserve"> organo strumentale allo svolgimento delle funzioni che sono proprie del Sindaco, è solo quest’ultimo che può individuare in concreto le azioni per le qua</w:t>
      </w:r>
      <w:r w:rsidR="00724D2E">
        <w:rPr>
          <w:rFonts w:eastAsia="Times New Roman"/>
          <w:spacing w:val="2"/>
          <w:kern w:val="1"/>
          <w:szCs w:val="20"/>
          <w:lang w:eastAsia="ar-SA"/>
        </w:rPr>
        <w:t xml:space="preserve">li abbia necessità di supporto </w:t>
      </w:r>
      <w:r>
        <w:rPr>
          <w:rFonts w:eastAsia="Times New Roman"/>
          <w:spacing w:val="2"/>
          <w:kern w:val="1"/>
          <w:szCs w:val="20"/>
          <w:lang w:eastAsia="ar-SA"/>
        </w:rPr>
        <w:t xml:space="preserve">e delineare l’oggetto dell’incarico di collaborazione, così come </w:t>
      </w:r>
      <w:r w:rsidR="00724D2E">
        <w:rPr>
          <w:rFonts w:eastAsia="Times New Roman"/>
          <w:spacing w:val="2"/>
          <w:kern w:val="1"/>
          <w:szCs w:val="20"/>
          <w:lang w:eastAsia="ar-SA"/>
        </w:rPr>
        <w:t xml:space="preserve">l’utilità attesa dallo svolgimento dello stesso. Inoltre, andrebbe valutata </w:t>
      </w:r>
      <w:r w:rsidR="004F6E4C">
        <w:rPr>
          <w:rFonts w:eastAsia="Times New Roman"/>
          <w:spacing w:val="2"/>
          <w:kern w:val="1"/>
          <w:szCs w:val="20"/>
          <w:lang w:eastAsia="ar-SA"/>
        </w:rPr>
        <w:t>la complessità della struttura organizzativa che dovrebbe essere tale da giustificare l’istituzione di un ufficio, quale quello previsto dall’art. 90 TUEL, finalizzato a svolgere un’attività di coordinamento e di indirizzo politico. Conseguentemente, anche in assenza di un espresso divieto legislativo, sarebbe quanto meno inopportuno prevedere l’istituzione di un ufficio di staff in un comune di ridotte dimensioni, quale il comune richiedente.</w:t>
      </w:r>
    </w:p>
    <w:p w14:paraId="3392BD6A" w14:textId="77777777" w:rsidR="00194825" w:rsidRPr="00703169" w:rsidRDefault="00194825" w:rsidP="00724D2E">
      <w:pPr>
        <w:pStyle w:val="Paragrafoelenco"/>
        <w:suppressAutoHyphens/>
        <w:spacing w:after="0" w:line="360" w:lineRule="auto"/>
        <w:ind w:left="567" w:firstLine="709"/>
        <w:textAlignment w:val="baseline"/>
        <w:rPr>
          <w:rFonts w:eastAsia="Times New Roman"/>
          <w:spacing w:val="2"/>
          <w:kern w:val="1"/>
          <w:szCs w:val="20"/>
          <w:lang w:eastAsia="ar-SA"/>
        </w:rPr>
      </w:pPr>
    </w:p>
    <w:p w14:paraId="0E9C5FBB" w14:textId="77777777" w:rsidR="00194825" w:rsidRDefault="00724D2E" w:rsidP="00D26628">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 xml:space="preserve">È altrettanto evidente che gli incarichi di collaborazione ex art. 90 TUEL non possono risolversi in forme di supporto alla struttura amministrativa dell’Ente, in quanto, diversamente, verrebbe meno quella separazione tra </w:t>
      </w:r>
      <w:r w:rsidR="00212459">
        <w:rPr>
          <w:rFonts w:eastAsia="Times New Roman"/>
          <w:spacing w:val="2"/>
          <w:kern w:val="1"/>
          <w:szCs w:val="20"/>
          <w:lang w:eastAsia="ar-SA"/>
        </w:rPr>
        <w:t xml:space="preserve">la </w:t>
      </w:r>
      <w:r>
        <w:rPr>
          <w:rFonts w:eastAsia="Times New Roman"/>
          <w:spacing w:val="2"/>
          <w:kern w:val="1"/>
          <w:szCs w:val="20"/>
          <w:lang w:eastAsia="ar-SA"/>
        </w:rPr>
        <w:t>funzione di indirizzo</w:t>
      </w:r>
      <w:r w:rsidR="00212459">
        <w:rPr>
          <w:rFonts w:eastAsia="Times New Roman"/>
          <w:spacing w:val="2"/>
          <w:kern w:val="1"/>
          <w:szCs w:val="20"/>
          <w:lang w:eastAsia="ar-SA"/>
        </w:rPr>
        <w:t xml:space="preserve"> e coordinamento, propria dell’O</w:t>
      </w:r>
      <w:r>
        <w:rPr>
          <w:rFonts w:eastAsia="Times New Roman"/>
          <w:spacing w:val="2"/>
          <w:kern w:val="1"/>
          <w:szCs w:val="20"/>
          <w:lang w:eastAsia="ar-SA"/>
        </w:rPr>
        <w:t xml:space="preserve">rgano politico di vertice, e </w:t>
      </w:r>
      <w:r w:rsidR="00212459">
        <w:rPr>
          <w:rFonts w:eastAsia="Times New Roman"/>
          <w:spacing w:val="2"/>
          <w:kern w:val="1"/>
          <w:szCs w:val="20"/>
          <w:lang w:eastAsia="ar-SA"/>
        </w:rPr>
        <w:t xml:space="preserve">la </w:t>
      </w:r>
      <w:r>
        <w:rPr>
          <w:rFonts w:eastAsia="Times New Roman"/>
          <w:spacing w:val="2"/>
          <w:kern w:val="1"/>
          <w:szCs w:val="20"/>
          <w:lang w:eastAsia="ar-SA"/>
        </w:rPr>
        <w:t xml:space="preserve">funzione </w:t>
      </w:r>
      <w:r w:rsidR="00212459">
        <w:rPr>
          <w:rFonts w:eastAsia="Times New Roman"/>
          <w:spacing w:val="2"/>
          <w:kern w:val="1"/>
          <w:szCs w:val="20"/>
          <w:lang w:eastAsia="ar-SA"/>
        </w:rPr>
        <w:t>di amministrazione e di gestione</w:t>
      </w:r>
      <w:r>
        <w:rPr>
          <w:rFonts w:eastAsia="Times New Roman"/>
          <w:spacing w:val="2"/>
          <w:kern w:val="1"/>
          <w:szCs w:val="20"/>
          <w:lang w:eastAsia="ar-SA"/>
        </w:rPr>
        <w:t xml:space="preserve">, propria della struttura organizzativa, come delineata, a più riprese, dal Legislatore. </w:t>
      </w:r>
    </w:p>
    <w:p w14:paraId="53401184" w14:textId="1F796174" w:rsidR="00655591" w:rsidRDefault="00724D2E" w:rsidP="00D26628">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 xml:space="preserve"> </w:t>
      </w:r>
    </w:p>
    <w:p w14:paraId="0A33CC43" w14:textId="20115271" w:rsidR="004F6E4C" w:rsidRDefault="004F6E4C" w:rsidP="00D26628">
      <w:pPr>
        <w:pStyle w:val="Paragrafoelenco"/>
        <w:suppressAutoHyphens/>
        <w:spacing w:after="0" w:line="360" w:lineRule="auto"/>
        <w:ind w:left="567" w:firstLine="709"/>
        <w:textAlignment w:val="baseline"/>
        <w:rPr>
          <w:rFonts w:eastAsia="Times New Roman"/>
          <w:spacing w:val="2"/>
          <w:kern w:val="1"/>
          <w:szCs w:val="20"/>
          <w:lang w:eastAsia="ar-SA"/>
        </w:rPr>
      </w:pPr>
      <w:r>
        <w:rPr>
          <w:rFonts w:eastAsia="Times New Roman"/>
          <w:spacing w:val="2"/>
          <w:kern w:val="1"/>
          <w:szCs w:val="20"/>
          <w:lang w:eastAsia="ar-SA"/>
        </w:rPr>
        <w:t>Tuttavia</w:t>
      </w:r>
      <w:r w:rsidR="00194825">
        <w:rPr>
          <w:rFonts w:eastAsia="Times New Roman"/>
          <w:spacing w:val="2"/>
          <w:kern w:val="1"/>
          <w:szCs w:val="20"/>
          <w:lang w:eastAsia="ar-SA"/>
        </w:rPr>
        <w:t>,</w:t>
      </w:r>
      <w:r>
        <w:rPr>
          <w:rFonts w:eastAsia="Times New Roman"/>
          <w:spacing w:val="2"/>
          <w:kern w:val="1"/>
          <w:szCs w:val="20"/>
          <w:lang w:eastAsia="ar-SA"/>
        </w:rPr>
        <w:t xml:space="preserve"> non si può disconoscere che il vigente quadro normativo consente l’assunzione di personale in quiescenza per lo svolgimento di </w:t>
      </w:r>
      <w:r w:rsidR="00212459">
        <w:rPr>
          <w:rFonts w:eastAsia="Times New Roman"/>
          <w:spacing w:val="2"/>
          <w:kern w:val="1"/>
          <w:szCs w:val="20"/>
          <w:lang w:eastAsia="ar-SA"/>
        </w:rPr>
        <w:t>“</w:t>
      </w:r>
      <w:r>
        <w:rPr>
          <w:rFonts w:eastAsia="Times New Roman"/>
          <w:spacing w:val="2"/>
          <w:kern w:val="1"/>
          <w:szCs w:val="20"/>
          <w:lang w:eastAsia="ar-SA"/>
        </w:rPr>
        <w:t>incarichi di staff</w:t>
      </w:r>
      <w:r w:rsidR="00212459">
        <w:rPr>
          <w:rFonts w:eastAsia="Times New Roman"/>
          <w:spacing w:val="2"/>
          <w:kern w:val="1"/>
          <w:szCs w:val="20"/>
          <w:lang w:eastAsia="ar-SA"/>
        </w:rPr>
        <w:t>”</w:t>
      </w:r>
      <w:r>
        <w:rPr>
          <w:rFonts w:eastAsia="Times New Roman"/>
          <w:spacing w:val="2"/>
          <w:kern w:val="1"/>
          <w:szCs w:val="20"/>
          <w:lang w:eastAsia="ar-SA"/>
        </w:rPr>
        <w:t xml:space="preserve"> ex art. 90 TUEL, purché ciò avvenga nei limiti di cui all’art. 5, comma 9 del D.L. n. 95/2012 e successive modifiche e integrazioni, nonché nel rispetto dei principi enucleati </w:t>
      </w:r>
      <w:r w:rsidR="00626F1A">
        <w:rPr>
          <w:rFonts w:eastAsia="Times New Roman"/>
          <w:spacing w:val="2"/>
          <w:kern w:val="1"/>
          <w:szCs w:val="20"/>
          <w:lang w:eastAsia="ar-SA"/>
        </w:rPr>
        <w:t>dalla giurisprudenza richiamata, in particolare quello del carattere necessariamen</w:t>
      </w:r>
      <w:r w:rsidR="00194825">
        <w:rPr>
          <w:rFonts w:eastAsia="Times New Roman"/>
          <w:spacing w:val="2"/>
          <w:kern w:val="1"/>
          <w:szCs w:val="20"/>
          <w:lang w:eastAsia="ar-SA"/>
        </w:rPr>
        <w:t>te oneroso della collaborazione</w:t>
      </w:r>
      <w:r w:rsidR="00626F1A">
        <w:rPr>
          <w:rFonts w:eastAsia="Times New Roman"/>
          <w:spacing w:val="2"/>
          <w:kern w:val="1"/>
          <w:szCs w:val="20"/>
          <w:lang w:eastAsia="ar-SA"/>
        </w:rPr>
        <w:t>.</w:t>
      </w:r>
    </w:p>
    <w:p w14:paraId="0FA6AD7F" w14:textId="74550501" w:rsidR="00AE629D" w:rsidRDefault="00AE629D" w:rsidP="004A01CD">
      <w:pPr>
        <w:suppressAutoHyphens/>
        <w:spacing w:after="0" w:line="360" w:lineRule="auto"/>
        <w:ind w:firstLine="0"/>
        <w:textAlignment w:val="baseline"/>
        <w:rPr>
          <w:szCs w:val="20"/>
        </w:rPr>
      </w:pPr>
    </w:p>
    <w:p w14:paraId="0CF700B3" w14:textId="539473CB" w:rsidR="00194825" w:rsidRDefault="00194825" w:rsidP="004A01CD">
      <w:pPr>
        <w:suppressAutoHyphens/>
        <w:spacing w:after="0" w:line="360" w:lineRule="auto"/>
        <w:ind w:firstLine="0"/>
        <w:textAlignment w:val="baseline"/>
        <w:rPr>
          <w:szCs w:val="20"/>
        </w:rPr>
      </w:pPr>
    </w:p>
    <w:p w14:paraId="285C10E1" w14:textId="77777777" w:rsidR="00194825" w:rsidRDefault="00194825" w:rsidP="004A01CD">
      <w:pPr>
        <w:suppressAutoHyphens/>
        <w:spacing w:after="0" w:line="360" w:lineRule="auto"/>
        <w:ind w:firstLine="0"/>
        <w:textAlignment w:val="baseline"/>
        <w:rPr>
          <w:szCs w:val="20"/>
        </w:rPr>
      </w:pPr>
    </w:p>
    <w:p w14:paraId="085A9511" w14:textId="3C75C756" w:rsidR="00002160" w:rsidRDefault="004A01CD" w:rsidP="00F07FAC">
      <w:pPr>
        <w:suppressAutoHyphens/>
        <w:spacing w:after="0" w:line="360" w:lineRule="auto"/>
        <w:ind w:left="567" w:firstLine="0"/>
        <w:jc w:val="center"/>
        <w:textAlignment w:val="baseline"/>
        <w:rPr>
          <w:b/>
          <w:szCs w:val="20"/>
        </w:rPr>
      </w:pPr>
      <w:r>
        <w:rPr>
          <w:b/>
          <w:szCs w:val="20"/>
        </w:rPr>
        <w:t>P.Q.M.</w:t>
      </w:r>
    </w:p>
    <w:p w14:paraId="16155BEF" w14:textId="77777777" w:rsidR="00AE629D" w:rsidRPr="00F07FAC" w:rsidRDefault="00AE629D" w:rsidP="00F07FAC">
      <w:pPr>
        <w:suppressAutoHyphens/>
        <w:spacing w:after="0" w:line="360" w:lineRule="auto"/>
        <w:ind w:left="567" w:firstLine="0"/>
        <w:jc w:val="center"/>
        <w:textAlignment w:val="baseline"/>
        <w:rPr>
          <w:b/>
          <w:szCs w:val="20"/>
        </w:rPr>
      </w:pPr>
    </w:p>
    <w:p w14:paraId="4C74A07D" w14:textId="103A305A" w:rsidR="00AE629D" w:rsidRDefault="004A01CD" w:rsidP="00215851">
      <w:pPr>
        <w:suppressAutoHyphens/>
        <w:spacing w:after="0" w:line="360" w:lineRule="auto"/>
        <w:ind w:left="567" w:firstLine="0"/>
        <w:textAlignment w:val="baseline"/>
        <w:rPr>
          <w:szCs w:val="20"/>
        </w:rPr>
      </w:pPr>
      <w:r>
        <w:rPr>
          <w:szCs w:val="20"/>
        </w:rPr>
        <w:t xml:space="preserve">nelle esposte considerazioni è il parere della Sezione regionale di controllo per la Basilicata in relazione alla richiesta </w:t>
      </w:r>
      <w:r w:rsidR="00002160">
        <w:rPr>
          <w:szCs w:val="20"/>
        </w:rPr>
        <w:t>di parere presentata dal Sindaco</w:t>
      </w:r>
      <w:r w:rsidR="00655591">
        <w:rPr>
          <w:szCs w:val="20"/>
        </w:rPr>
        <w:t xml:space="preserve"> del Comune di Barile</w:t>
      </w:r>
      <w:r w:rsidR="00002160">
        <w:rPr>
          <w:szCs w:val="20"/>
        </w:rPr>
        <w:t xml:space="preserve"> con la nota in epigrafe citata</w:t>
      </w:r>
      <w:r w:rsidR="00F07FAC">
        <w:rPr>
          <w:szCs w:val="20"/>
        </w:rPr>
        <w:t>;</w:t>
      </w:r>
      <w:r w:rsidR="00824493">
        <w:rPr>
          <w:szCs w:val="20"/>
        </w:rPr>
        <w:t xml:space="preserve"> </w:t>
      </w:r>
    </w:p>
    <w:p w14:paraId="313DABE2" w14:textId="6F005F67" w:rsidR="00824493" w:rsidRDefault="00824493" w:rsidP="00215851">
      <w:pPr>
        <w:suppressAutoHyphens/>
        <w:spacing w:after="0" w:line="360" w:lineRule="auto"/>
        <w:ind w:left="567" w:firstLine="0"/>
        <w:textAlignment w:val="baseline"/>
        <w:rPr>
          <w:szCs w:val="20"/>
        </w:rPr>
      </w:pPr>
    </w:p>
    <w:p w14:paraId="7C58E02F" w14:textId="7AE29CAE" w:rsidR="00194825" w:rsidRDefault="00194825" w:rsidP="00215851">
      <w:pPr>
        <w:suppressAutoHyphens/>
        <w:spacing w:after="0" w:line="360" w:lineRule="auto"/>
        <w:ind w:left="567" w:firstLine="0"/>
        <w:textAlignment w:val="baseline"/>
        <w:rPr>
          <w:szCs w:val="20"/>
        </w:rPr>
      </w:pPr>
    </w:p>
    <w:p w14:paraId="4AC48D8E" w14:textId="740C35E7" w:rsidR="00194825" w:rsidRDefault="00194825" w:rsidP="00194825">
      <w:pPr>
        <w:suppressAutoHyphens/>
        <w:spacing w:after="0" w:line="360" w:lineRule="auto"/>
        <w:ind w:firstLine="0"/>
        <w:textAlignment w:val="baseline"/>
        <w:rPr>
          <w:szCs w:val="20"/>
        </w:rPr>
      </w:pPr>
    </w:p>
    <w:p w14:paraId="25F7DA17" w14:textId="77777777" w:rsidR="00FE4E48" w:rsidRDefault="00002160" w:rsidP="00F07FAC">
      <w:pPr>
        <w:widowControl w:val="0"/>
        <w:spacing w:line="360" w:lineRule="auto"/>
        <w:ind w:left="567" w:firstLine="709"/>
        <w:rPr>
          <w:b/>
          <w:szCs w:val="20"/>
        </w:rPr>
      </w:pPr>
      <w:r>
        <w:rPr>
          <w:b/>
          <w:szCs w:val="20"/>
        </w:rPr>
        <w:t xml:space="preserve">                                                 </w:t>
      </w:r>
      <w:r w:rsidR="00FE4E48">
        <w:rPr>
          <w:b/>
          <w:szCs w:val="20"/>
        </w:rPr>
        <w:t>DISPONE</w:t>
      </w:r>
    </w:p>
    <w:p w14:paraId="307667CB" w14:textId="77777777" w:rsidR="00AE629D" w:rsidRDefault="00AE629D" w:rsidP="00F07FAC">
      <w:pPr>
        <w:widowControl w:val="0"/>
        <w:spacing w:line="360" w:lineRule="auto"/>
        <w:ind w:left="567" w:firstLine="709"/>
        <w:rPr>
          <w:szCs w:val="20"/>
        </w:rPr>
      </w:pPr>
    </w:p>
    <w:p w14:paraId="49789C81" w14:textId="77777777" w:rsidR="008C4A92" w:rsidRDefault="00FE4E48" w:rsidP="00FB0A70">
      <w:pPr>
        <w:widowControl w:val="0"/>
        <w:tabs>
          <w:tab w:val="left" w:pos="720"/>
        </w:tabs>
        <w:spacing w:line="360" w:lineRule="auto"/>
        <w:ind w:left="567" w:firstLine="0"/>
        <w:rPr>
          <w:szCs w:val="20"/>
        </w:rPr>
      </w:pPr>
      <w:r>
        <w:rPr>
          <w:szCs w:val="20"/>
        </w:rPr>
        <w:t>che c</w:t>
      </w:r>
      <w:r w:rsidR="008C4A92">
        <w:rPr>
          <w:szCs w:val="20"/>
        </w:rPr>
        <w:t>opia d</w:t>
      </w:r>
      <w:r>
        <w:rPr>
          <w:szCs w:val="20"/>
        </w:rPr>
        <w:t>ella presente deliberazione sia</w:t>
      </w:r>
      <w:r w:rsidR="008C4A92">
        <w:rPr>
          <w:szCs w:val="20"/>
        </w:rPr>
        <w:t xml:space="preserve"> </w:t>
      </w:r>
      <w:r>
        <w:rPr>
          <w:szCs w:val="20"/>
        </w:rPr>
        <w:t>trasmessa, a cura della segreteria della Sezione</w:t>
      </w:r>
      <w:r w:rsidR="008C4A92">
        <w:rPr>
          <w:szCs w:val="20"/>
        </w:rPr>
        <w:t>,</w:t>
      </w:r>
      <w:r>
        <w:rPr>
          <w:szCs w:val="20"/>
        </w:rPr>
        <w:t xml:space="preserve"> </w:t>
      </w:r>
      <w:r>
        <w:rPr>
          <w:szCs w:val="20"/>
        </w:rPr>
        <w:lastRenderedPageBreak/>
        <w:t>all’Amministrazione richiedente</w:t>
      </w:r>
      <w:r w:rsidR="008C4A92">
        <w:rPr>
          <w:szCs w:val="20"/>
        </w:rPr>
        <w:t>.</w:t>
      </w:r>
    </w:p>
    <w:p w14:paraId="3318DED3" w14:textId="77777777" w:rsidR="00AE629D" w:rsidRDefault="00AE629D" w:rsidP="00FB0A70">
      <w:pPr>
        <w:widowControl w:val="0"/>
        <w:tabs>
          <w:tab w:val="left" w:pos="720"/>
        </w:tabs>
        <w:spacing w:line="360" w:lineRule="auto"/>
        <w:ind w:left="567" w:firstLine="0"/>
        <w:rPr>
          <w:szCs w:val="20"/>
        </w:rPr>
      </w:pPr>
    </w:p>
    <w:p w14:paraId="5C2915F3" w14:textId="5D65AADB" w:rsidR="0074796F" w:rsidRPr="00AE629D" w:rsidRDefault="008C4A92" w:rsidP="00AE629D">
      <w:pPr>
        <w:widowControl w:val="0"/>
        <w:autoSpaceDE w:val="0"/>
        <w:autoSpaceDN w:val="0"/>
        <w:adjustRightInd w:val="0"/>
        <w:spacing w:line="360" w:lineRule="auto"/>
        <w:ind w:left="567" w:firstLine="0"/>
        <w:rPr>
          <w:szCs w:val="20"/>
        </w:rPr>
      </w:pPr>
      <w:r>
        <w:rPr>
          <w:szCs w:val="20"/>
        </w:rPr>
        <w:t>Così deliberato in Po</w:t>
      </w:r>
      <w:r w:rsidR="00DE1DCA">
        <w:rPr>
          <w:szCs w:val="20"/>
        </w:rPr>
        <w:t>tenza, nella C</w:t>
      </w:r>
      <w:r>
        <w:rPr>
          <w:szCs w:val="20"/>
        </w:rPr>
        <w:t xml:space="preserve">amera </w:t>
      </w:r>
      <w:r w:rsidR="0074796F">
        <w:rPr>
          <w:szCs w:val="20"/>
        </w:rPr>
        <w:t xml:space="preserve">di consiglio del </w:t>
      </w:r>
      <w:r w:rsidR="00194825" w:rsidRPr="00194825">
        <w:rPr>
          <w:szCs w:val="20"/>
        </w:rPr>
        <w:t>15</w:t>
      </w:r>
      <w:r w:rsidR="004A01CD" w:rsidRPr="00194825">
        <w:rPr>
          <w:szCs w:val="20"/>
        </w:rPr>
        <w:t xml:space="preserve"> novembre </w:t>
      </w:r>
      <w:r w:rsidR="00E72460" w:rsidRPr="00194825">
        <w:rPr>
          <w:szCs w:val="20"/>
        </w:rPr>
        <w:t>2018</w:t>
      </w:r>
      <w:r w:rsidR="0074796F" w:rsidRPr="00194825">
        <w:rPr>
          <w:szCs w:val="20"/>
        </w:rPr>
        <w:t>.</w:t>
      </w:r>
    </w:p>
    <w:p w14:paraId="2F3BE831" w14:textId="77777777" w:rsidR="0074796F" w:rsidRDefault="0074796F" w:rsidP="00FB0A70">
      <w:pPr>
        <w:tabs>
          <w:tab w:val="center" w:pos="720"/>
          <w:tab w:val="center" w:pos="5463"/>
        </w:tabs>
        <w:spacing w:after="0" w:line="360" w:lineRule="auto"/>
        <w:ind w:left="567" w:firstLine="0"/>
      </w:pPr>
    </w:p>
    <w:p w14:paraId="28475C45" w14:textId="77777777" w:rsidR="00AE629D" w:rsidRDefault="00AE629D" w:rsidP="00FB0A70">
      <w:pPr>
        <w:tabs>
          <w:tab w:val="center" w:pos="720"/>
          <w:tab w:val="center" w:pos="5463"/>
        </w:tabs>
        <w:spacing w:after="0" w:line="360" w:lineRule="auto"/>
        <w:ind w:left="567" w:firstLine="0"/>
      </w:pPr>
    </w:p>
    <w:p w14:paraId="54AB8CF2" w14:textId="77777777" w:rsidR="0074796F" w:rsidRDefault="0074796F" w:rsidP="00FB0A70">
      <w:pPr>
        <w:tabs>
          <w:tab w:val="center" w:pos="720"/>
          <w:tab w:val="center" w:pos="5463"/>
        </w:tabs>
        <w:spacing w:after="0" w:line="360" w:lineRule="auto"/>
        <w:ind w:left="567" w:firstLine="0"/>
      </w:pPr>
      <w:r>
        <w:tab/>
        <w:t xml:space="preserve">                       </w:t>
      </w:r>
      <w:r w:rsidR="00D715EB">
        <w:t xml:space="preserve">  Il Relatore</w:t>
      </w:r>
      <w:r w:rsidR="008641EB">
        <w:t xml:space="preserve">                                       </w:t>
      </w:r>
      <w:r w:rsidR="00646AC7">
        <w:t xml:space="preserve">      </w:t>
      </w:r>
      <w:r w:rsidR="008641EB">
        <w:t xml:space="preserve"> </w:t>
      </w:r>
      <w:r w:rsidR="00D715EB">
        <w:t xml:space="preserve">   </w:t>
      </w:r>
      <w:r>
        <w:t xml:space="preserve">     </w:t>
      </w:r>
      <w:r w:rsidR="00C96DC3">
        <w:t>Il P</w:t>
      </w:r>
      <w:r w:rsidR="00D715EB">
        <w:t>residente</w:t>
      </w:r>
    </w:p>
    <w:p w14:paraId="544AFD80" w14:textId="60C58904" w:rsidR="008641EB" w:rsidRPr="0074796F" w:rsidRDefault="0074796F" w:rsidP="00FB0A70">
      <w:pPr>
        <w:tabs>
          <w:tab w:val="center" w:pos="720"/>
          <w:tab w:val="center" w:pos="5463"/>
        </w:tabs>
        <w:spacing w:after="0" w:line="360" w:lineRule="auto"/>
        <w:ind w:left="567" w:firstLine="0"/>
      </w:pPr>
      <w:r>
        <w:t xml:space="preserve">        </w:t>
      </w:r>
      <w:r w:rsidR="00FA42B3">
        <w:t xml:space="preserve">F.to </w:t>
      </w:r>
      <w:r w:rsidR="007979D3">
        <w:t>d</w:t>
      </w:r>
      <w:r>
        <w:t>ott</w:t>
      </w:r>
      <w:r w:rsidR="003A407C">
        <w:t>. Luigi Gianfranceschi</w:t>
      </w:r>
      <w:r w:rsidR="007979D3">
        <w:t xml:space="preserve"> </w:t>
      </w:r>
      <w:r w:rsidR="00AE629D">
        <w:t xml:space="preserve"> </w:t>
      </w:r>
      <w:r>
        <w:t xml:space="preserve">                    </w:t>
      </w:r>
      <w:r w:rsidR="007979D3">
        <w:t xml:space="preserve">  </w:t>
      </w:r>
      <w:r w:rsidR="00AE629D">
        <w:t xml:space="preserve">     </w:t>
      </w:r>
      <w:r w:rsidR="007979D3">
        <w:t xml:space="preserve">     </w:t>
      </w:r>
      <w:r w:rsidR="00FA42B3">
        <w:t xml:space="preserve">F.to </w:t>
      </w:r>
      <w:r>
        <w:t>dott</w:t>
      </w:r>
      <w:r w:rsidR="008641EB" w:rsidRPr="0074796F">
        <w:t>. Rosario Scalia</w:t>
      </w:r>
    </w:p>
    <w:p w14:paraId="5BEBEC51" w14:textId="77777777" w:rsidR="008641EB" w:rsidRDefault="008641EB" w:rsidP="00F07FAC">
      <w:pPr>
        <w:spacing w:after="0" w:line="360" w:lineRule="auto"/>
        <w:ind w:firstLine="0"/>
        <w:jc w:val="left"/>
      </w:pPr>
    </w:p>
    <w:p w14:paraId="04D5D0F2" w14:textId="77777777" w:rsidR="00A906D1" w:rsidRDefault="00A906D1" w:rsidP="00F07FAC">
      <w:pPr>
        <w:spacing w:after="0" w:line="360" w:lineRule="auto"/>
        <w:ind w:firstLine="0"/>
        <w:jc w:val="left"/>
      </w:pPr>
    </w:p>
    <w:p w14:paraId="19BD8E83" w14:textId="77777777" w:rsidR="00A906D1" w:rsidRDefault="00A906D1" w:rsidP="00F07FAC">
      <w:pPr>
        <w:spacing w:after="0" w:line="360" w:lineRule="auto"/>
        <w:ind w:firstLine="0"/>
        <w:jc w:val="left"/>
      </w:pPr>
    </w:p>
    <w:p w14:paraId="1810ECB7" w14:textId="77777777" w:rsidR="008641EB" w:rsidRDefault="008641EB" w:rsidP="00FB0A70">
      <w:pPr>
        <w:spacing w:after="0" w:line="360" w:lineRule="auto"/>
        <w:ind w:left="567" w:firstLine="0"/>
        <w:jc w:val="left"/>
      </w:pPr>
      <w:r>
        <w:t xml:space="preserve"> </w:t>
      </w:r>
    </w:p>
    <w:p w14:paraId="5C55FA00" w14:textId="77777777" w:rsidR="00AE629D" w:rsidRDefault="00AE629D" w:rsidP="00FB0A70">
      <w:pPr>
        <w:spacing w:after="0" w:line="360" w:lineRule="auto"/>
        <w:ind w:left="567" w:firstLine="0"/>
        <w:jc w:val="left"/>
      </w:pPr>
    </w:p>
    <w:p w14:paraId="6964C3D0" w14:textId="0F528657" w:rsidR="008641EB" w:rsidRDefault="008641EB" w:rsidP="00FB0A70">
      <w:pPr>
        <w:spacing w:after="0" w:line="360" w:lineRule="auto"/>
        <w:ind w:left="567" w:firstLine="0"/>
        <w:jc w:val="center"/>
      </w:pPr>
      <w:r>
        <w:t xml:space="preserve">Depositata in segreteria il </w:t>
      </w:r>
      <w:r w:rsidR="00194825">
        <w:t>26</w:t>
      </w:r>
      <w:r w:rsidR="00AF351A">
        <w:t xml:space="preserve"> novem</w:t>
      </w:r>
      <w:r w:rsidR="000729C5" w:rsidRPr="00E72460">
        <w:t xml:space="preserve">bre </w:t>
      </w:r>
      <w:r w:rsidR="00FE4E48" w:rsidRPr="00E72460">
        <w:t>2018</w:t>
      </w:r>
    </w:p>
    <w:p w14:paraId="59B8FF64" w14:textId="77777777" w:rsidR="008641EB" w:rsidRDefault="008641EB" w:rsidP="00FB0A70">
      <w:pPr>
        <w:spacing w:after="0" w:line="360" w:lineRule="auto"/>
        <w:ind w:left="567" w:firstLine="0"/>
        <w:jc w:val="center"/>
        <w:rPr>
          <w:i/>
        </w:rPr>
      </w:pPr>
      <w:r>
        <w:t>Il Preposto ai servizi di supporto</w:t>
      </w:r>
    </w:p>
    <w:p w14:paraId="60FDCFAF" w14:textId="55412B63" w:rsidR="008641EB" w:rsidRDefault="0074796F" w:rsidP="004A01CD">
      <w:pPr>
        <w:spacing w:after="0" w:line="360" w:lineRule="auto"/>
        <w:ind w:left="567" w:firstLine="0"/>
        <w:jc w:val="center"/>
      </w:pPr>
      <w:r w:rsidRPr="00646AC7">
        <w:t xml:space="preserve"> </w:t>
      </w:r>
      <w:r w:rsidR="00FA42B3">
        <w:t xml:space="preserve">F.to </w:t>
      </w:r>
      <w:r w:rsidRPr="0074796F">
        <w:t>dott</w:t>
      </w:r>
      <w:r w:rsidR="008641EB" w:rsidRPr="0074796F">
        <w:t>. Giovanni Cappiello</w:t>
      </w:r>
      <w:bookmarkStart w:id="4" w:name="_GoBack"/>
      <w:bookmarkEnd w:id="4"/>
    </w:p>
    <w:sectPr w:rsidR="008641EB" w:rsidSect="00D30B6F">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3F6A8" w14:textId="77777777" w:rsidR="00D32043" w:rsidRDefault="00D32043" w:rsidP="008641EB">
      <w:pPr>
        <w:spacing w:after="0" w:line="240" w:lineRule="auto"/>
      </w:pPr>
      <w:r>
        <w:separator/>
      </w:r>
    </w:p>
  </w:endnote>
  <w:endnote w:type="continuationSeparator" w:id="0">
    <w:p w14:paraId="2BE6F20D" w14:textId="77777777" w:rsidR="00D32043" w:rsidRDefault="00D32043" w:rsidP="008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755521"/>
      <w:docPartObj>
        <w:docPartGallery w:val="Page Numbers (Bottom of Page)"/>
        <w:docPartUnique/>
      </w:docPartObj>
    </w:sdtPr>
    <w:sdtEndPr/>
    <w:sdtContent>
      <w:p w14:paraId="3F557199" w14:textId="39B15E0B" w:rsidR="00900D1F" w:rsidRDefault="00900D1F">
        <w:pPr>
          <w:pStyle w:val="Pidipagina"/>
          <w:jc w:val="center"/>
        </w:pPr>
        <w:r>
          <w:fldChar w:fldCharType="begin"/>
        </w:r>
        <w:r>
          <w:instrText>PAGE   \* MERGEFORMAT</w:instrText>
        </w:r>
        <w:r>
          <w:fldChar w:fldCharType="separate"/>
        </w:r>
        <w:r w:rsidR="00FA42B3">
          <w:rPr>
            <w:noProof/>
          </w:rPr>
          <w:t>16</w:t>
        </w:r>
        <w:r>
          <w:fldChar w:fldCharType="end"/>
        </w:r>
      </w:p>
    </w:sdtContent>
  </w:sdt>
  <w:p w14:paraId="4BF3CCC7" w14:textId="77777777" w:rsidR="00900D1F" w:rsidRDefault="00900D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A245B" w14:textId="77777777" w:rsidR="00D32043" w:rsidRDefault="00D32043" w:rsidP="008641EB">
      <w:pPr>
        <w:spacing w:after="0" w:line="240" w:lineRule="auto"/>
      </w:pPr>
      <w:r>
        <w:separator/>
      </w:r>
    </w:p>
  </w:footnote>
  <w:footnote w:type="continuationSeparator" w:id="0">
    <w:p w14:paraId="5D5F74F5" w14:textId="77777777" w:rsidR="00D32043" w:rsidRDefault="00D32043" w:rsidP="008641EB">
      <w:pPr>
        <w:spacing w:after="0" w:line="240" w:lineRule="auto"/>
      </w:pPr>
      <w:r>
        <w:continuationSeparator/>
      </w:r>
    </w:p>
  </w:footnote>
  <w:footnote w:id="1">
    <w:p w14:paraId="2F9E30C6" w14:textId="5287D159" w:rsidR="00900D1F" w:rsidRDefault="00900D1F" w:rsidP="00E908E7">
      <w:pPr>
        <w:pStyle w:val="Testonotaapidipagina"/>
        <w:ind w:left="709" w:firstLine="0"/>
        <w:rPr>
          <w:sz w:val="16"/>
          <w:szCs w:val="16"/>
        </w:rPr>
      </w:pPr>
      <w:r>
        <w:rPr>
          <w:rStyle w:val="Rimandonotaapidipagina"/>
        </w:rPr>
        <w:footnoteRef/>
      </w:r>
      <w:r>
        <w:t xml:space="preserve"> </w:t>
      </w:r>
      <w:r>
        <w:rPr>
          <w:sz w:val="16"/>
          <w:szCs w:val="16"/>
        </w:rPr>
        <w:t>Nella deliberazione citata, la Corte dei conti, in sede di registrazione di un contratto stipulato da un’università con un dipendente pubblico collocato in quiescenza ed avente ad oggetto opere di falegnameria, ha espresso parere favorevole, osservando che poiché la norma circoscrive il divieto agli “incarichi dirigenziali e direttivi”, agli “incarichi di studio” ed agli “incarichi di consulenza”, ne restano esclusi i contratti di collaborazione di diverso contenuto, atteso che la disposizione, al pari di tutte quelle che introducono limiti a diritti e facoltà deve essere valutata sulla base del criterio di stretta interpretazione enunciato dall’art. 14 delle preleggi al Codice civile, che non consente operazioni ermeneutiche di indirizzo estensivo, fondate sull’analogia.</w:t>
      </w:r>
    </w:p>
    <w:p w14:paraId="3F77366C" w14:textId="77777777" w:rsidR="006E3F8B" w:rsidRPr="00E908E7" w:rsidRDefault="006E3F8B" w:rsidP="00E908E7">
      <w:pPr>
        <w:pStyle w:val="Testonotaapidipagina"/>
        <w:ind w:left="709" w:firstLine="0"/>
        <w:rPr>
          <w:sz w:val="16"/>
          <w:szCs w:val="16"/>
        </w:rPr>
      </w:pPr>
    </w:p>
  </w:footnote>
  <w:footnote w:id="2">
    <w:p w14:paraId="5CB44B23" w14:textId="6C0E802B" w:rsidR="00900D1F" w:rsidRPr="008F4958" w:rsidRDefault="00900D1F" w:rsidP="008F4958">
      <w:pPr>
        <w:pStyle w:val="Testonotaapidipagina"/>
        <w:ind w:left="709" w:firstLine="0"/>
        <w:rPr>
          <w:i/>
          <w:sz w:val="16"/>
          <w:szCs w:val="16"/>
        </w:rPr>
      </w:pPr>
      <w:r w:rsidRPr="00A83D8D">
        <w:rPr>
          <w:rStyle w:val="Rimandonotaapidipagina"/>
          <w:sz w:val="16"/>
          <w:szCs w:val="16"/>
        </w:rPr>
        <w:footnoteRef/>
      </w:r>
      <w:r w:rsidRPr="00A83D8D">
        <w:rPr>
          <w:sz w:val="16"/>
          <w:szCs w:val="16"/>
        </w:rPr>
        <w:t xml:space="preserve"> La Circolare del Ministro per la semplificazione </w:t>
      </w:r>
      <w:r>
        <w:rPr>
          <w:sz w:val="16"/>
          <w:szCs w:val="16"/>
        </w:rPr>
        <w:t>e la pubblica amministrazione n. 6 del 4 dicembre 2014 definisce gli incarichi di studio e consulenza come “</w:t>
      </w:r>
      <w:r w:rsidRPr="008F4958">
        <w:rPr>
          <w:i/>
          <w:sz w:val="16"/>
          <w:szCs w:val="16"/>
        </w:rPr>
        <w:t>quelli che presuppongono competenze specialistic</w:t>
      </w:r>
      <w:r>
        <w:rPr>
          <w:i/>
          <w:sz w:val="16"/>
          <w:szCs w:val="16"/>
        </w:rPr>
        <w:t>he e rientrano nelle ipotesi di contratto d’opera intellettuale di cui agli articoli 2229 e seguenti del codice civile. Costituiscono incarichi di studio quelli consistenti nello svolgimento di un’attività di studio che, che possono essere individuati con riferimento ai parametri indicati dal decreto del Presidente della Repubblica 18 aprile 1994, n. 338. Costituiscono consulenze le richieste di pareri a esperti (così Corte dei conti, Sezioni riunite in sede di controllo, delibera 15 febbraio 2005, n.6/CONTR/05)</w:t>
      </w:r>
      <w:r>
        <w:rPr>
          <w:sz w:val="16"/>
          <w:szCs w:val="16"/>
        </w:rPr>
        <w:t>”.</w:t>
      </w:r>
      <w:r>
        <w:rPr>
          <w:i/>
          <w:sz w:val="16"/>
          <w:szCs w:val="16"/>
        </w:rPr>
        <w:t xml:space="preserve">  </w:t>
      </w:r>
    </w:p>
  </w:footnote>
  <w:footnote w:id="3">
    <w:p w14:paraId="2C3DF4BB" w14:textId="43249BA5" w:rsidR="005260D5" w:rsidRPr="005260D5" w:rsidRDefault="005260D5" w:rsidP="00655591">
      <w:pPr>
        <w:pStyle w:val="Testonotaapidipagina"/>
        <w:ind w:left="709" w:firstLine="0"/>
        <w:rPr>
          <w:sz w:val="16"/>
          <w:szCs w:val="16"/>
        </w:rPr>
      </w:pPr>
      <w:r>
        <w:rPr>
          <w:rStyle w:val="Rimandonotaapidipagina"/>
        </w:rPr>
        <w:footnoteRef/>
      </w:r>
      <w:r w:rsidR="00655591">
        <w:rPr>
          <w:sz w:val="16"/>
          <w:szCs w:val="16"/>
        </w:rPr>
        <w:t xml:space="preserve"> </w:t>
      </w:r>
      <w:r>
        <w:rPr>
          <w:sz w:val="16"/>
          <w:szCs w:val="16"/>
        </w:rPr>
        <w:t>La Sezione delle Autonomie, con deliberazione n. 2/2015/QMIG ha affermato che “</w:t>
      </w:r>
      <w:r w:rsidRPr="00655591">
        <w:rPr>
          <w:i/>
          <w:sz w:val="16"/>
          <w:szCs w:val="16"/>
        </w:rPr>
        <w:t>Le limitazioni dettate dai primi sei periodi dell’art. 9, comma 28 del D.L. n. 78/2010, in materia di assunzioni per il</w:t>
      </w:r>
      <w:r w:rsidR="00655591" w:rsidRPr="00655591">
        <w:rPr>
          <w:i/>
          <w:sz w:val="16"/>
          <w:szCs w:val="16"/>
        </w:rPr>
        <w:t xml:space="preserve"> </w:t>
      </w:r>
      <w:r w:rsidRPr="00655591">
        <w:rPr>
          <w:i/>
          <w:sz w:val="16"/>
          <w:szCs w:val="16"/>
        </w:rPr>
        <w:t>lavoro</w:t>
      </w:r>
      <w:r w:rsidR="00655591" w:rsidRPr="00655591">
        <w:rPr>
          <w:i/>
          <w:sz w:val="16"/>
          <w:szCs w:val="16"/>
        </w:rPr>
        <w:t xml:space="preserve"> </w:t>
      </w:r>
      <w:r w:rsidRPr="00655591">
        <w:rPr>
          <w:i/>
          <w:sz w:val="16"/>
          <w:szCs w:val="16"/>
        </w:rPr>
        <w:t>flessibile, alla luce dell’art. 11, comma 4-bis</w:t>
      </w:r>
      <w:r w:rsidR="00655591" w:rsidRPr="00655591">
        <w:rPr>
          <w:i/>
          <w:sz w:val="16"/>
          <w:szCs w:val="16"/>
        </w:rPr>
        <w:t>, del D.L. n. 90/2014 non si applicano agli Enti Locali in regola con l’obbligo di riduzione della spesa di personale di cui ai commi 557 e 562 dell’art. 1 Legge n. 296/2006, ferma restando la vigenza del limite massimo della spesa sostenuta per le medesime finalità nell’anno 2009, ai sensi del successivo ottavo periodo dello stesso comma 28</w:t>
      </w:r>
      <w:r w:rsidR="00655591">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76E8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233244"/>
    <w:multiLevelType w:val="hybridMultilevel"/>
    <w:tmpl w:val="CF64C5F4"/>
    <w:lvl w:ilvl="0" w:tplc="BD748FD8">
      <w:numFmt w:val="bullet"/>
      <w:lvlText w:val="-"/>
      <w:lvlJc w:val="left"/>
      <w:pPr>
        <w:ind w:left="1635" w:hanging="360"/>
      </w:pPr>
      <w:rPr>
        <w:rFonts w:ascii="Verdana" w:eastAsia="Times New Roman" w:hAnsi="Verdana" w:cs="Verdana" w:hint="default"/>
      </w:rPr>
    </w:lvl>
    <w:lvl w:ilvl="1" w:tplc="04100003" w:tentative="1">
      <w:start w:val="1"/>
      <w:numFmt w:val="bullet"/>
      <w:lvlText w:val="o"/>
      <w:lvlJc w:val="left"/>
      <w:pPr>
        <w:ind w:left="2355" w:hanging="360"/>
      </w:pPr>
      <w:rPr>
        <w:rFonts w:ascii="Courier New" w:hAnsi="Courier New" w:cs="Courier New" w:hint="default"/>
      </w:rPr>
    </w:lvl>
    <w:lvl w:ilvl="2" w:tplc="04100005" w:tentative="1">
      <w:start w:val="1"/>
      <w:numFmt w:val="bullet"/>
      <w:lvlText w:val=""/>
      <w:lvlJc w:val="left"/>
      <w:pPr>
        <w:ind w:left="3075" w:hanging="360"/>
      </w:pPr>
      <w:rPr>
        <w:rFonts w:ascii="Wingdings" w:hAnsi="Wingdings" w:hint="default"/>
      </w:rPr>
    </w:lvl>
    <w:lvl w:ilvl="3" w:tplc="04100001" w:tentative="1">
      <w:start w:val="1"/>
      <w:numFmt w:val="bullet"/>
      <w:lvlText w:val=""/>
      <w:lvlJc w:val="left"/>
      <w:pPr>
        <w:ind w:left="3795" w:hanging="360"/>
      </w:pPr>
      <w:rPr>
        <w:rFonts w:ascii="Symbol" w:hAnsi="Symbol" w:hint="default"/>
      </w:rPr>
    </w:lvl>
    <w:lvl w:ilvl="4" w:tplc="04100003" w:tentative="1">
      <w:start w:val="1"/>
      <w:numFmt w:val="bullet"/>
      <w:lvlText w:val="o"/>
      <w:lvlJc w:val="left"/>
      <w:pPr>
        <w:ind w:left="4515" w:hanging="360"/>
      </w:pPr>
      <w:rPr>
        <w:rFonts w:ascii="Courier New" w:hAnsi="Courier New" w:cs="Courier New" w:hint="default"/>
      </w:rPr>
    </w:lvl>
    <w:lvl w:ilvl="5" w:tplc="04100005" w:tentative="1">
      <w:start w:val="1"/>
      <w:numFmt w:val="bullet"/>
      <w:lvlText w:val=""/>
      <w:lvlJc w:val="left"/>
      <w:pPr>
        <w:ind w:left="5235" w:hanging="360"/>
      </w:pPr>
      <w:rPr>
        <w:rFonts w:ascii="Wingdings" w:hAnsi="Wingdings" w:hint="default"/>
      </w:rPr>
    </w:lvl>
    <w:lvl w:ilvl="6" w:tplc="04100001" w:tentative="1">
      <w:start w:val="1"/>
      <w:numFmt w:val="bullet"/>
      <w:lvlText w:val=""/>
      <w:lvlJc w:val="left"/>
      <w:pPr>
        <w:ind w:left="5955" w:hanging="360"/>
      </w:pPr>
      <w:rPr>
        <w:rFonts w:ascii="Symbol" w:hAnsi="Symbol" w:hint="default"/>
      </w:rPr>
    </w:lvl>
    <w:lvl w:ilvl="7" w:tplc="04100003" w:tentative="1">
      <w:start w:val="1"/>
      <w:numFmt w:val="bullet"/>
      <w:lvlText w:val="o"/>
      <w:lvlJc w:val="left"/>
      <w:pPr>
        <w:ind w:left="6675" w:hanging="360"/>
      </w:pPr>
      <w:rPr>
        <w:rFonts w:ascii="Courier New" w:hAnsi="Courier New" w:cs="Courier New" w:hint="default"/>
      </w:rPr>
    </w:lvl>
    <w:lvl w:ilvl="8" w:tplc="04100005" w:tentative="1">
      <w:start w:val="1"/>
      <w:numFmt w:val="bullet"/>
      <w:lvlText w:val=""/>
      <w:lvlJc w:val="left"/>
      <w:pPr>
        <w:ind w:left="7395" w:hanging="360"/>
      </w:pPr>
      <w:rPr>
        <w:rFonts w:ascii="Wingdings" w:hAnsi="Wingdings" w:hint="default"/>
      </w:rPr>
    </w:lvl>
  </w:abstractNum>
  <w:abstractNum w:abstractNumId="2" w15:restartNumberingAfterBreak="0">
    <w:nsid w:val="224849A5"/>
    <w:multiLevelType w:val="hybridMultilevel"/>
    <w:tmpl w:val="F0627562"/>
    <w:lvl w:ilvl="0" w:tplc="11346AAE">
      <w:numFmt w:val="bullet"/>
      <w:lvlText w:val="-"/>
      <w:lvlJc w:val="left"/>
      <w:pPr>
        <w:ind w:left="1070" w:hanging="360"/>
      </w:pPr>
      <w:rPr>
        <w:rFonts w:ascii="Verdana" w:eastAsia="Times New Roman" w:hAnsi="Verdana" w:cs="Verdana"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 w15:restartNumberingAfterBreak="0">
    <w:nsid w:val="30D75BF9"/>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A8718E"/>
    <w:multiLevelType w:val="hybridMultilevel"/>
    <w:tmpl w:val="B09E4548"/>
    <w:lvl w:ilvl="0" w:tplc="B53C375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518C3DA7"/>
    <w:multiLevelType w:val="hybridMultilevel"/>
    <w:tmpl w:val="7F1AB092"/>
    <w:lvl w:ilvl="0" w:tplc="142A0606">
      <w:start w:val="1"/>
      <w:numFmt w:val="decimal"/>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6" w15:restartNumberingAfterBreak="0">
    <w:nsid w:val="648F0A78"/>
    <w:multiLevelType w:val="hybridMultilevel"/>
    <w:tmpl w:val="602256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125E7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509298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6"/>
  </w:num>
  <w:num w:numId="4">
    <w:abstractNumId w:val="0"/>
  </w:num>
  <w:num w:numId="5">
    <w:abstractNumId w:val="8"/>
  </w:num>
  <w:num w:numId="6">
    <w:abstractNumId w:val="3"/>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1EB"/>
    <w:rsid w:val="00001159"/>
    <w:rsid w:val="00002160"/>
    <w:rsid w:val="00002E79"/>
    <w:rsid w:val="00015183"/>
    <w:rsid w:val="000216C5"/>
    <w:rsid w:val="00023F2A"/>
    <w:rsid w:val="00027428"/>
    <w:rsid w:val="00033159"/>
    <w:rsid w:val="0004068B"/>
    <w:rsid w:val="00047018"/>
    <w:rsid w:val="00050FF6"/>
    <w:rsid w:val="00070217"/>
    <w:rsid w:val="00072170"/>
    <w:rsid w:val="000729C5"/>
    <w:rsid w:val="000754DF"/>
    <w:rsid w:val="00080E28"/>
    <w:rsid w:val="00085353"/>
    <w:rsid w:val="00086D2C"/>
    <w:rsid w:val="00093442"/>
    <w:rsid w:val="000960EC"/>
    <w:rsid w:val="000976A9"/>
    <w:rsid w:val="000B05B0"/>
    <w:rsid w:val="000B6A26"/>
    <w:rsid w:val="000B749E"/>
    <w:rsid w:val="000C181B"/>
    <w:rsid w:val="000D3755"/>
    <w:rsid w:val="000E01AC"/>
    <w:rsid w:val="000E0562"/>
    <w:rsid w:val="000E54EA"/>
    <w:rsid w:val="000F5A1F"/>
    <w:rsid w:val="000F5D9A"/>
    <w:rsid w:val="00100D1B"/>
    <w:rsid w:val="001023FB"/>
    <w:rsid w:val="001036BB"/>
    <w:rsid w:val="00105F15"/>
    <w:rsid w:val="00110C78"/>
    <w:rsid w:val="00111883"/>
    <w:rsid w:val="00116263"/>
    <w:rsid w:val="001219D8"/>
    <w:rsid w:val="001247E6"/>
    <w:rsid w:val="00130F6C"/>
    <w:rsid w:val="00134AA6"/>
    <w:rsid w:val="0013767E"/>
    <w:rsid w:val="001469D3"/>
    <w:rsid w:val="00146F79"/>
    <w:rsid w:val="00155BCD"/>
    <w:rsid w:val="00156ABB"/>
    <w:rsid w:val="00164F30"/>
    <w:rsid w:val="00175975"/>
    <w:rsid w:val="00185554"/>
    <w:rsid w:val="00191333"/>
    <w:rsid w:val="00194825"/>
    <w:rsid w:val="0019527D"/>
    <w:rsid w:val="00197F69"/>
    <w:rsid w:val="001A1989"/>
    <w:rsid w:val="001A310A"/>
    <w:rsid w:val="001A45EA"/>
    <w:rsid w:val="001B3ADD"/>
    <w:rsid w:val="001B63C5"/>
    <w:rsid w:val="001C08F2"/>
    <w:rsid w:val="001C1547"/>
    <w:rsid w:val="001C2D06"/>
    <w:rsid w:val="001C4770"/>
    <w:rsid w:val="001C6C2E"/>
    <w:rsid w:val="001C75E4"/>
    <w:rsid w:val="001E0F74"/>
    <w:rsid w:val="001F1FF0"/>
    <w:rsid w:val="002004B7"/>
    <w:rsid w:val="00212459"/>
    <w:rsid w:val="0021513F"/>
    <w:rsid w:val="002156F7"/>
    <w:rsid w:val="00215851"/>
    <w:rsid w:val="0022514B"/>
    <w:rsid w:val="00225E5A"/>
    <w:rsid w:val="00227461"/>
    <w:rsid w:val="002404A7"/>
    <w:rsid w:val="00241607"/>
    <w:rsid w:val="002460A0"/>
    <w:rsid w:val="002477C2"/>
    <w:rsid w:val="00251D23"/>
    <w:rsid w:val="00251F71"/>
    <w:rsid w:val="00266867"/>
    <w:rsid w:val="0027000A"/>
    <w:rsid w:val="00272632"/>
    <w:rsid w:val="002752F0"/>
    <w:rsid w:val="00280306"/>
    <w:rsid w:val="002B60D3"/>
    <w:rsid w:val="002C3C7C"/>
    <w:rsid w:val="002D0E56"/>
    <w:rsid w:val="002D657C"/>
    <w:rsid w:val="002D6D83"/>
    <w:rsid w:val="002E7A05"/>
    <w:rsid w:val="002F159B"/>
    <w:rsid w:val="002F2D3A"/>
    <w:rsid w:val="002F55A3"/>
    <w:rsid w:val="002F5C9B"/>
    <w:rsid w:val="00301560"/>
    <w:rsid w:val="00314B5E"/>
    <w:rsid w:val="00324C4E"/>
    <w:rsid w:val="00333C70"/>
    <w:rsid w:val="003419FB"/>
    <w:rsid w:val="00352CE3"/>
    <w:rsid w:val="00352D25"/>
    <w:rsid w:val="00352FAE"/>
    <w:rsid w:val="00353071"/>
    <w:rsid w:val="00357EDF"/>
    <w:rsid w:val="0037172B"/>
    <w:rsid w:val="00374F82"/>
    <w:rsid w:val="00382CCF"/>
    <w:rsid w:val="003846F1"/>
    <w:rsid w:val="003856A0"/>
    <w:rsid w:val="003975BD"/>
    <w:rsid w:val="003A0D82"/>
    <w:rsid w:val="003A407C"/>
    <w:rsid w:val="003A430F"/>
    <w:rsid w:val="003B14DF"/>
    <w:rsid w:val="003B2F1B"/>
    <w:rsid w:val="003B49B2"/>
    <w:rsid w:val="003B5E54"/>
    <w:rsid w:val="003B77B9"/>
    <w:rsid w:val="003C2BBD"/>
    <w:rsid w:val="003C4716"/>
    <w:rsid w:val="003E2BDC"/>
    <w:rsid w:val="003E571B"/>
    <w:rsid w:val="003E6F32"/>
    <w:rsid w:val="003F766D"/>
    <w:rsid w:val="003F7F87"/>
    <w:rsid w:val="00401C85"/>
    <w:rsid w:val="00406A22"/>
    <w:rsid w:val="004142A8"/>
    <w:rsid w:val="00415D88"/>
    <w:rsid w:val="0042033B"/>
    <w:rsid w:val="004259AC"/>
    <w:rsid w:val="004312B3"/>
    <w:rsid w:val="00437162"/>
    <w:rsid w:val="004411C9"/>
    <w:rsid w:val="00443727"/>
    <w:rsid w:val="00447AC6"/>
    <w:rsid w:val="004507F7"/>
    <w:rsid w:val="00457935"/>
    <w:rsid w:val="004631AE"/>
    <w:rsid w:val="00465EF2"/>
    <w:rsid w:val="00471500"/>
    <w:rsid w:val="00474E28"/>
    <w:rsid w:val="00476166"/>
    <w:rsid w:val="004843E7"/>
    <w:rsid w:val="00484E49"/>
    <w:rsid w:val="004852E2"/>
    <w:rsid w:val="00495DE1"/>
    <w:rsid w:val="004A01CD"/>
    <w:rsid w:val="004A4B22"/>
    <w:rsid w:val="004B09DD"/>
    <w:rsid w:val="004C4403"/>
    <w:rsid w:val="004C4BF0"/>
    <w:rsid w:val="004C4CDC"/>
    <w:rsid w:val="004D70F4"/>
    <w:rsid w:val="004E0A8D"/>
    <w:rsid w:val="004E4BBA"/>
    <w:rsid w:val="004E6173"/>
    <w:rsid w:val="004F23E6"/>
    <w:rsid w:val="004F4869"/>
    <w:rsid w:val="004F58D4"/>
    <w:rsid w:val="004F6E4C"/>
    <w:rsid w:val="00504258"/>
    <w:rsid w:val="00505FF4"/>
    <w:rsid w:val="00515AEB"/>
    <w:rsid w:val="005260D5"/>
    <w:rsid w:val="00530E71"/>
    <w:rsid w:val="005311AB"/>
    <w:rsid w:val="00534863"/>
    <w:rsid w:val="0054709D"/>
    <w:rsid w:val="00553CF1"/>
    <w:rsid w:val="00562687"/>
    <w:rsid w:val="00563779"/>
    <w:rsid w:val="00563BA2"/>
    <w:rsid w:val="005670CC"/>
    <w:rsid w:val="00567D09"/>
    <w:rsid w:val="00570970"/>
    <w:rsid w:val="00580DEF"/>
    <w:rsid w:val="00582D7E"/>
    <w:rsid w:val="00583F16"/>
    <w:rsid w:val="00585029"/>
    <w:rsid w:val="00587D47"/>
    <w:rsid w:val="00592D11"/>
    <w:rsid w:val="005937C1"/>
    <w:rsid w:val="005940AF"/>
    <w:rsid w:val="005A191E"/>
    <w:rsid w:val="005A71B5"/>
    <w:rsid w:val="005B543E"/>
    <w:rsid w:val="005D29C5"/>
    <w:rsid w:val="005D4FE8"/>
    <w:rsid w:val="005D51E2"/>
    <w:rsid w:val="005D7485"/>
    <w:rsid w:val="005F4114"/>
    <w:rsid w:val="006006C2"/>
    <w:rsid w:val="00612C80"/>
    <w:rsid w:val="00613827"/>
    <w:rsid w:val="006163DC"/>
    <w:rsid w:val="00624D9B"/>
    <w:rsid w:val="00626F1A"/>
    <w:rsid w:val="006309CC"/>
    <w:rsid w:val="00633ECC"/>
    <w:rsid w:val="00634CFB"/>
    <w:rsid w:val="006364D6"/>
    <w:rsid w:val="006412A8"/>
    <w:rsid w:val="00644093"/>
    <w:rsid w:val="006459BC"/>
    <w:rsid w:val="00645A81"/>
    <w:rsid w:val="00646AC7"/>
    <w:rsid w:val="00647D01"/>
    <w:rsid w:val="006509D8"/>
    <w:rsid w:val="00655591"/>
    <w:rsid w:val="00665B72"/>
    <w:rsid w:val="00673534"/>
    <w:rsid w:val="0068050E"/>
    <w:rsid w:val="00682CCF"/>
    <w:rsid w:val="00683D4B"/>
    <w:rsid w:val="00690725"/>
    <w:rsid w:val="00695A59"/>
    <w:rsid w:val="00697279"/>
    <w:rsid w:val="006A7337"/>
    <w:rsid w:val="006D3456"/>
    <w:rsid w:val="006D7188"/>
    <w:rsid w:val="006D758D"/>
    <w:rsid w:val="006E0FB7"/>
    <w:rsid w:val="006E3F8B"/>
    <w:rsid w:val="006E57B4"/>
    <w:rsid w:val="006F3CBF"/>
    <w:rsid w:val="00700EA1"/>
    <w:rsid w:val="007024B4"/>
    <w:rsid w:val="00703169"/>
    <w:rsid w:val="007053A8"/>
    <w:rsid w:val="007100F1"/>
    <w:rsid w:val="00712352"/>
    <w:rsid w:val="0071438D"/>
    <w:rsid w:val="00724D2E"/>
    <w:rsid w:val="00725AE7"/>
    <w:rsid w:val="0072608F"/>
    <w:rsid w:val="00726F21"/>
    <w:rsid w:val="0073439E"/>
    <w:rsid w:val="00734CE6"/>
    <w:rsid w:val="00737856"/>
    <w:rsid w:val="00741E6E"/>
    <w:rsid w:val="0074796F"/>
    <w:rsid w:val="0075134C"/>
    <w:rsid w:val="00753904"/>
    <w:rsid w:val="007547FE"/>
    <w:rsid w:val="00761878"/>
    <w:rsid w:val="00761912"/>
    <w:rsid w:val="0076672D"/>
    <w:rsid w:val="00767C91"/>
    <w:rsid w:val="00770279"/>
    <w:rsid w:val="00770A84"/>
    <w:rsid w:val="00770EAD"/>
    <w:rsid w:val="00773829"/>
    <w:rsid w:val="00781DD2"/>
    <w:rsid w:val="00784955"/>
    <w:rsid w:val="007944F9"/>
    <w:rsid w:val="007979D3"/>
    <w:rsid w:val="007A2351"/>
    <w:rsid w:val="007A3119"/>
    <w:rsid w:val="007A57E0"/>
    <w:rsid w:val="007B6DD6"/>
    <w:rsid w:val="007C36BA"/>
    <w:rsid w:val="007D0122"/>
    <w:rsid w:val="007D0281"/>
    <w:rsid w:val="007D1E19"/>
    <w:rsid w:val="007D77D0"/>
    <w:rsid w:val="007F6648"/>
    <w:rsid w:val="0080068B"/>
    <w:rsid w:val="0080303D"/>
    <w:rsid w:val="00807AE7"/>
    <w:rsid w:val="00823131"/>
    <w:rsid w:val="00824493"/>
    <w:rsid w:val="00832926"/>
    <w:rsid w:val="00832936"/>
    <w:rsid w:val="008329B7"/>
    <w:rsid w:val="00836F60"/>
    <w:rsid w:val="008415AC"/>
    <w:rsid w:val="008635E6"/>
    <w:rsid w:val="008641EB"/>
    <w:rsid w:val="0086551B"/>
    <w:rsid w:val="00866F14"/>
    <w:rsid w:val="00871C24"/>
    <w:rsid w:val="00876485"/>
    <w:rsid w:val="0088619B"/>
    <w:rsid w:val="00886C2C"/>
    <w:rsid w:val="00895278"/>
    <w:rsid w:val="008A0CE0"/>
    <w:rsid w:val="008A28CF"/>
    <w:rsid w:val="008A2F9B"/>
    <w:rsid w:val="008A712A"/>
    <w:rsid w:val="008B784D"/>
    <w:rsid w:val="008C2693"/>
    <w:rsid w:val="008C4A92"/>
    <w:rsid w:val="008C7ACB"/>
    <w:rsid w:val="008D3107"/>
    <w:rsid w:val="008D78D1"/>
    <w:rsid w:val="008E37C2"/>
    <w:rsid w:val="008E481F"/>
    <w:rsid w:val="008E761E"/>
    <w:rsid w:val="008F05EA"/>
    <w:rsid w:val="008F4958"/>
    <w:rsid w:val="00900D1F"/>
    <w:rsid w:val="0090454C"/>
    <w:rsid w:val="00904D60"/>
    <w:rsid w:val="00911D36"/>
    <w:rsid w:val="00912BEF"/>
    <w:rsid w:val="00917C6A"/>
    <w:rsid w:val="009301FF"/>
    <w:rsid w:val="009325AF"/>
    <w:rsid w:val="00933058"/>
    <w:rsid w:val="0093447F"/>
    <w:rsid w:val="00937ED4"/>
    <w:rsid w:val="00940B92"/>
    <w:rsid w:val="00943109"/>
    <w:rsid w:val="009468AA"/>
    <w:rsid w:val="00946B42"/>
    <w:rsid w:val="00951344"/>
    <w:rsid w:val="0095270C"/>
    <w:rsid w:val="00954F8F"/>
    <w:rsid w:val="009631C9"/>
    <w:rsid w:val="009709C3"/>
    <w:rsid w:val="00971B1F"/>
    <w:rsid w:val="00975856"/>
    <w:rsid w:val="00981663"/>
    <w:rsid w:val="00991EDC"/>
    <w:rsid w:val="0099477A"/>
    <w:rsid w:val="00996592"/>
    <w:rsid w:val="009A13FE"/>
    <w:rsid w:val="009A2980"/>
    <w:rsid w:val="009A3246"/>
    <w:rsid w:val="009A644F"/>
    <w:rsid w:val="009A7FEB"/>
    <w:rsid w:val="009B25A4"/>
    <w:rsid w:val="009B3734"/>
    <w:rsid w:val="009C2B43"/>
    <w:rsid w:val="009C43AF"/>
    <w:rsid w:val="009C5BC0"/>
    <w:rsid w:val="009C742B"/>
    <w:rsid w:val="009E4120"/>
    <w:rsid w:val="009E5BC3"/>
    <w:rsid w:val="009F4BA7"/>
    <w:rsid w:val="009F5815"/>
    <w:rsid w:val="009F5A83"/>
    <w:rsid w:val="00A0117C"/>
    <w:rsid w:val="00A02DDE"/>
    <w:rsid w:val="00A070D5"/>
    <w:rsid w:val="00A0741F"/>
    <w:rsid w:val="00A07A69"/>
    <w:rsid w:val="00A1259B"/>
    <w:rsid w:val="00A160DC"/>
    <w:rsid w:val="00A16464"/>
    <w:rsid w:val="00A17695"/>
    <w:rsid w:val="00A2454E"/>
    <w:rsid w:val="00A374CD"/>
    <w:rsid w:val="00A402D9"/>
    <w:rsid w:val="00A41F5D"/>
    <w:rsid w:val="00A5019C"/>
    <w:rsid w:val="00A52236"/>
    <w:rsid w:val="00A53FBB"/>
    <w:rsid w:val="00A603C1"/>
    <w:rsid w:val="00A61B2E"/>
    <w:rsid w:val="00A656B7"/>
    <w:rsid w:val="00A725EC"/>
    <w:rsid w:val="00A83D8D"/>
    <w:rsid w:val="00A864E3"/>
    <w:rsid w:val="00A87E93"/>
    <w:rsid w:val="00A906D1"/>
    <w:rsid w:val="00AA55F6"/>
    <w:rsid w:val="00AB3F5A"/>
    <w:rsid w:val="00AC3FF9"/>
    <w:rsid w:val="00AC413A"/>
    <w:rsid w:val="00AC6D2E"/>
    <w:rsid w:val="00AD037E"/>
    <w:rsid w:val="00AD1CEC"/>
    <w:rsid w:val="00AD657D"/>
    <w:rsid w:val="00AE2BE1"/>
    <w:rsid w:val="00AE5146"/>
    <w:rsid w:val="00AE629D"/>
    <w:rsid w:val="00AF0C56"/>
    <w:rsid w:val="00AF14BB"/>
    <w:rsid w:val="00AF351A"/>
    <w:rsid w:val="00AF5773"/>
    <w:rsid w:val="00B049DE"/>
    <w:rsid w:val="00B23748"/>
    <w:rsid w:val="00B30D33"/>
    <w:rsid w:val="00B31CEC"/>
    <w:rsid w:val="00B37EE5"/>
    <w:rsid w:val="00B408DE"/>
    <w:rsid w:val="00B51572"/>
    <w:rsid w:val="00B54E72"/>
    <w:rsid w:val="00B552AF"/>
    <w:rsid w:val="00B56085"/>
    <w:rsid w:val="00B61351"/>
    <w:rsid w:val="00B7280A"/>
    <w:rsid w:val="00B76CF7"/>
    <w:rsid w:val="00B8216C"/>
    <w:rsid w:val="00B83599"/>
    <w:rsid w:val="00B8475F"/>
    <w:rsid w:val="00BB584D"/>
    <w:rsid w:val="00BB7CE8"/>
    <w:rsid w:val="00BC107A"/>
    <w:rsid w:val="00BC3AE1"/>
    <w:rsid w:val="00BC4D06"/>
    <w:rsid w:val="00BC7929"/>
    <w:rsid w:val="00BD4E05"/>
    <w:rsid w:val="00BD6BF4"/>
    <w:rsid w:val="00BD751A"/>
    <w:rsid w:val="00BE2972"/>
    <w:rsid w:val="00BF1511"/>
    <w:rsid w:val="00BF731C"/>
    <w:rsid w:val="00C01926"/>
    <w:rsid w:val="00C02305"/>
    <w:rsid w:val="00C05AF9"/>
    <w:rsid w:val="00C103B8"/>
    <w:rsid w:val="00C14885"/>
    <w:rsid w:val="00C16A1E"/>
    <w:rsid w:val="00C21ADF"/>
    <w:rsid w:val="00C23596"/>
    <w:rsid w:val="00C23EDB"/>
    <w:rsid w:val="00C323C9"/>
    <w:rsid w:val="00C35233"/>
    <w:rsid w:val="00C409F4"/>
    <w:rsid w:val="00C42407"/>
    <w:rsid w:val="00C466C1"/>
    <w:rsid w:val="00C519B5"/>
    <w:rsid w:val="00C52EE7"/>
    <w:rsid w:val="00C54A3F"/>
    <w:rsid w:val="00C55C5F"/>
    <w:rsid w:val="00C5608B"/>
    <w:rsid w:val="00C57E66"/>
    <w:rsid w:val="00C66A37"/>
    <w:rsid w:val="00C67EE6"/>
    <w:rsid w:val="00C7014C"/>
    <w:rsid w:val="00C741B2"/>
    <w:rsid w:val="00C76C65"/>
    <w:rsid w:val="00C76E2C"/>
    <w:rsid w:val="00C85966"/>
    <w:rsid w:val="00C91C56"/>
    <w:rsid w:val="00C91F5D"/>
    <w:rsid w:val="00C93A21"/>
    <w:rsid w:val="00C96DC3"/>
    <w:rsid w:val="00C97BE6"/>
    <w:rsid w:val="00CA6A7C"/>
    <w:rsid w:val="00CD4A47"/>
    <w:rsid w:val="00CE3711"/>
    <w:rsid w:val="00CE7801"/>
    <w:rsid w:val="00CF2FDC"/>
    <w:rsid w:val="00CF5A8C"/>
    <w:rsid w:val="00CF685B"/>
    <w:rsid w:val="00D04101"/>
    <w:rsid w:val="00D26628"/>
    <w:rsid w:val="00D30B6F"/>
    <w:rsid w:val="00D31515"/>
    <w:rsid w:val="00D32043"/>
    <w:rsid w:val="00D34B2E"/>
    <w:rsid w:val="00D42B47"/>
    <w:rsid w:val="00D45B2D"/>
    <w:rsid w:val="00D4664C"/>
    <w:rsid w:val="00D628F0"/>
    <w:rsid w:val="00D65175"/>
    <w:rsid w:val="00D715EB"/>
    <w:rsid w:val="00D7225F"/>
    <w:rsid w:val="00D7535C"/>
    <w:rsid w:val="00D844A9"/>
    <w:rsid w:val="00D85683"/>
    <w:rsid w:val="00DB0921"/>
    <w:rsid w:val="00DB0D55"/>
    <w:rsid w:val="00DC272F"/>
    <w:rsid w:val="00DC3A40"/>
    <w:rsid w:val="00DD27ED"/>
    <w:rsid w:val="00DD2E1A"/>
    <w:rsid w:val="00DE1DCA"/>
    <w:rsid w:val="00DE48AF"/>
    <w:rsid w:val="00DE628A"/>
    <w:rsid w:val="00DF1733"/>
    <w:rsid w:val="00DF328C"/>
    <w:rsid w:val="00DF40DB"/>
    <w:rsid w:val="00E0008D"/>
    <w:rsid w:val="00E01293"/>
    <w:rsid w:val="00E14936"/>
    <w:rsid w:val="00E15E2F"/>
    <w:rsid w:val="00E21572"/>
    <w:rsid w:val="00E248F3"/>
    <w:rsid w:val="00E253CC"/>
    <w:rsid w:val="00E31C27"/>
    <w:rsid w:val="00E3537D"/>
    <w:rsid w:val="00E429DE"/>
    <w:rsid w:val="00E42FC1"/>
    <w:rsid w:val="00E43258"/>
    <w:rsid w:val="00E54499"/>
    <w:rsid w:val="00E55B3A"/>
    <w:rsid w:val="00E5678B"/>
    <w:rsid w:val="00E63A92"/>
    <w:rsid w:val="00E65EAB"/>
    <w:rsid w:val="00E70FB5"/>
    <w:rsid w:val="00E71498"/>
    <w:rsid w:val="00E72460"/>
    <w:rsid w:val="00E72D3B"/>
    <w:rsid w:val="00E80257"/>
    <w:rsid w:val="00E8555F"/>
    <w:rsid w:val="00E908E7"/>
    <w:rsid w:val="00E92EB7"/>
    <w:rsid w:val="00E93FC7"/>
    <w:rsid w:val="00E9464E"/>
    <w:rsid w:val="00E9486B"/>
    <w:rsid w:val="00E974E8"/>
    <w:rsid w:val="00EA21B1"/>
    <w:rsid w:val="00EA6BA7"/>
    <w:rsid w:val="00EB5B23"/>
    <w:rsid w:val="00EB7014"/>
    <w:rsid w:val="00EC56A5"/>
    <w:rsid w:val="00EC6BE4"/>
    <w:rsid w:val="00ED123C"/>
    <w:rsid w:val="00ED5703"/>
    <w:rsid w:val="00ED66F5"/>
    <w:rsid w:val="00ED6EF7"/>
    <w:rsid w:val="00ED7DC2"/>
    <w:rsid w:val="00EE1E69"/>
    <w:rsid w:val="00EE23A3"/>
    <w:rsid w:val="00EE2E4D"/>
    <w:rsid w:val="00EF258B"/>
    <w:rsid w:val="00EF3592"/>
    <w:rsid w:val="00F03330"/>
    <w:rsid w:val="00F045C7"/>
    <w:rsid w:val="00F05CB9"/>
    <w:rsid w:val="00F07FAC"/>
    <w:rsid w:val="00F11BFC"/>
    <w:rsid w:val="00F1288D"/>
    <w:rsid w:val="00F17108"/>
    <w:rsid w:val="00F21410"/>
    <w:rsid w:val="00F23DFB"/>
    <w:rsid w:val="00F2501E"/>
    <w:rsid w:val="00F31F7D"/>
    <w:rsid w:val="00F3403F"/>
    <w:rsid w:val="00F3797F"/>
    <w:rsid w:val="00F457EC"/>
    <w:rsid w:val="00F5426B"/>
    <w:rsid w:val="00F5655A"/>
    <w:rsid w:val="00F742B1"/>
    <w:rsid w:val="00F95363"/>
    <w:rsid w:val="00FA1656"/>
    <w:rsid w:val="00FA3D28"/>
    <w:rsid w:val="00FA42B3"/>
    <w:rsid w:val="00FB0A70"/>
    <w:rsid w:val="00FB0E56"/>
    <w:rsid w:val="00FB3221"/>
    <w:rsid w:val="00FC77CC"/>
    <w:rsid w:val="00FD19AE"/>
    <w:rsid w:val="00FD4BB0"/>
    <w:rsid w:val="00FD7E45"/>
    <w:rsid w:val="00FE4E48"/>
    <w:rsid w:val="00FF47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ACE69"/>
  <w15:docId w15:val="{71A46A52-2D0E-4F15-B8F6-7F04B4274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641EB"/>
    <w:pPr>
      <w:spacing w:after="4" w:line="364" w:lineRule="auto"/>
      <w:ind w:firstLine="710"/>
      <w:jc w:val="both"/>
    </w:pPr>
    <w:rPr>
      <w:rFonts w:ascii="Verdana" w:eastAsia="Verdana" w:hAnsi="Verdana" w:cs="Verdana"/>
      <w:color w:val="000000"/>
      <w:sz w:val="20"/>
      <w:lang w:eastAsia="it-IT"/>
    </w:rPr>
  </w:style>
  <w:style w:type="paragraph" w:styleId="Titolo1">
    <w:name w:val="heading 1"/>
    <w:next w:val="Normale"/>
    <w:link w:val="Titolo1Carattere"/>
    <w:uiPriority w:val="9"/>
    <w:qFormat/>
    <w:rsid w:val="008641EB"/>
    <w:pPr>
      <w:keepNext/>
      <w:keepLines/>
      <w:spacing w:after="101" w:line="256" w:lineRule="auto"/>
      <w:ind w:left="10" w:right="67" w:hanging="10"/>
      <w:jc w:val="center"/>
      <w:outlineLvl w:val="0"/>
    </w:pPr>
    <w:rPr>
      <w:rFonts w:ascii="Verdana" w:eastAsia="Verdana" w:hAnsi="Verdana" w:cs="Verdana"/>
      <w:b/>
      <w:color w:val="000000"/>
      <w:sz w:val="20"/>
      <w:lang w:eastAsia="it-IT"/>
    </w:rPr>
  </w:style>
  <w:style w:type="paragraph" w:styleId="Titolo3">
    <w:name w:val="heading 3"/>
    <w:basedOn w:val="Normale"/>
    <w:next w:val="Normale"/>
    <w:link w:val="Titolo3Carattere"/>
    <w:uiPriority w:val="9"/>
    <w:semiHidden/>
    <w:unhideWhenUsed/>
    <w:qFormat/>
    <w:rsid w:val="00484E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41EB"/>
    <w:rPr>
      <w:rFonts w:ascii="Verdana" w:eastAsia="Verdana" w:hAnsi="Verdana" w:cs="Verdana"/>
      <w:b/>
      <w:color w:val="000000"/>
      <w:sz w:val="20"/>
      <w:lang w:eastAsia="it-IT"/>
    </w:rPr>
  </w:style>
  <w:style w:type="paragraph" w:styleId="Intestazione">
    <w:name w:val="header"/>
    <w:basedOn w:val="Normale"/>
    <w:link w:val="IntestazioneCarattere"/>
    <w:uiPriority w:val="99"/>
    <w:unhideWhenUsed/>
    <w:rsid w:val="008641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41EB"/>
    <w:rPr>
      <w:rFonts w:ascii="Verdana" w:eastAsia="Verdana" w:hAnsi="Verdana" w:cs="Verdana"/>
      <w:color w:val="000000"/>
      <w:sz w:val="20"/>
      <w:lang w:eastAsia="it-IT"/>
    </w:rPr>
  </w:style>
  <w:style w:type="paragraph" w:styleId="Pidipagina">
    <w:name w:val="footer"/>
    <w:basedOn w:val="Normale"/>
    <w:link w:val="PidipaginaCarattere"/>
    <w:uiPriority w:val="99"/>
    <w:unhideWhenUsed/>
    <w:rsid w:val="008641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41EB"/>
    <w:rPr>
      <w:rFonts w:ascii="Verdana" w:eastAsia="Verdana" w:hAnsi="Verdana" w:cs="Verdana"/>
      <w:color w:val="000000"/>
      <w:sz w:val="20"/>
      <w:lang w:eastAsia="it-IT"/>
    </w:rPr>
  </w:style>
  <w:style w:type="paragraph" w:styleId="Testofumetto">
    <w:name w:val="Balloon Text"/>
    <w:basedOn w:val="Normale"/>
    <w:link w:val="TestofumettoCarattere"/>
    <w:uiPriority w:val="99"/>
    <w:semiHidden/>
    <w:unhideWhenUsed/>
    <w:rsid w:val="000B749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749E"/>
    <w:rPr>
      <w:rFonts w:ascii="Segoe UI" w:eastAsia="Verdana" w:hAnsi="Segoe UI" w:cs="Segoe UI"/>
      <w:color w:val="000000"/>
      <w:sz w:val="18"/>
      <w:szCs w:val="18"/>
      <w:lang w:eastAsia="it-IT"/>
    </w:rPr>
  </w:style>
  <w:style w:type="table" w:styleId="Grigliatabella">
    <w:name w:val="Table Grid"/>
    <w:basedOn w:val="Tabellanormale"/>
    <w:uiPriority w:val="59"/>
    <w:rsid w:val="0048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semiHidden/>
    <w:rsid w:val="00484E49"/>
    <w:rPr>
      <w:rFonts w:asciiTheme="majorHAnsi" w:eastAsiaTheme="majorEastAsia" w:hAnsiTheme="majorHAnsi" w:cstheme="majorBidi"/>
      <w:color w:val="1F4D78" w:themeColor="accent1" w:themeShade="7F"/>
      <w:sz w:val="24"/>
      <w:szCs w:val="24"/>
      <w:lang w:eastAsia="it-IT"/>
    </w:rPr>
  </w:style>
  <w:style w:type="table" w:customStyle="1" w:styleId="Grigliatabella1">
    <w:name w:val="Griglia tabella1"/>
    <w:basedOn w:val="Tabellanormale"/>
    <w:next w:val="Grigliatabella"/>
    <w:uiPriority w:val="59"/>
    <w:rsid w:val="0048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84E49"/>
    <w:pPr>
      <w:ind w:left="720"/>
      <w:contextualSpacing/>
    </w:pPr>
  </w:style>
  <w:style w:type="paragraph" w:customStyle="1" w:styleId="Standard">
    <w:name w:val="Standard"/>
    <w:rsid w:val="008C4A92"/>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Corpo">
    <w:name w:val="Corpo"/>
    <w:rsid w:val="00175975"/>
    <w:pPr>
      <w:spacing w:after="0" w:line="240" w:lineRule="auto"/>
    </w:pPr>
    <w:rPr>
      <w:rFonts w:ascii="Helvetica" w:eastAsia="Arial Unicode MS" w:hAnsi="Arial Unicode MS" w:cs="Arial Unicode MS"/>
      <w:color w:val="000000"/>
      <w:lang w:eastAsia="it-IT"/>
    </w:rPr>
  </w:style>
  <w:style w:type="paragraph" w:styleId="Corpotesto">
    <w:name w:val="Body Text"/>
    <w:basedOn w:val="Normale"/>
    <w:link w:val="CorpotestoCarattere"/>
    <w:semiHidden/>
    <w:unhideWhenUsed/>
    <w:rsid w:val="00FF47F9"/>
    <w:pPr>
      <w:widowControl w:val="0"/>
      <w:autoSpaceDE w:val="0"/>
      <w:autoSpaceDN w:val="0"/>
      <w:spacing w:after="0" w:line="559" w:lineRule="auto"/>
      <w:ind w:firstLine="0"/>
    </w:pPr>
    <w:rPr>
      <w:rFonts w:ascii="Tms Rmn" w:eastAsia="Times New Roman" w:hAnsi="Tms Rmn" w:cs="Times New Roman"/>
      <w:color w:val="auto"/>
      <w:sz w:val="26"/>
      <w:szCs w:val="26"/>
    </w:rPr>
  </w:style>
  <w:style w:type="character" w:customStyle="1" w:styleId="CorpotestoCarattere">
    <w:name w:val="Corpo testo Carattere"/>
    <w:basedOn w:val="Carpredefinitoparagrafo"/>
    <w:link w:val="Corpotesto"/>
    <w:semiHidden/>
    <w:rsid w:val="00FF47F9"/>
    <w:rPr>
      <w:rFonts w:ascii="Tms Rmn" w:eastAsia="Times New Roman" w:hAnsi="Tms Rmn" w:cs="Times New Roman"/>
      <w:sz w:val="26"/>
      <w:szCs w:val="26"/>
      <w:lang w:eastAsia="it-IT"/>
    </w:rPr>
  </w:style>
  <w:style w:type="paragraph" w:styleId="Testonotaapidipagina">
    <w:name w:val="footnote text"/>
    <w:basedOn w:val="Normale"/>
    <w:link w:val="TestonotaapidipaginaCarattere"/>
    <w:uiPriority w:val="99"/>
    <w:semiHidden/>
    <w:unhideWhenUsed/>
    <w:rsid w:val="00E908E7"/>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E908E7"/>
    <w:rPr>
      <w:rFonts w:ascii="Verdana" w:eastAsia="Verdana" w:hAnsi="Verdana" w:cs="Verdana"/>
      <w:color w:val="000000"/>
      <w:sz w:val="20"/>
      <w:szCs w:val="20"/>
      <w:lang w:eastAsia="it-IT"/>
    </w:rPr>
  </w:style>
  <w:style w:type="character" w:styleId="Rimandonotaapidipagina">
    <w:name w:val="footnote reference"/>
    <w:basedOn w:val="Carpredefinitoparagrafo"/>
    <w:uiPriority w:val="99"/>
    <w:semiHidden/>
    <w:unhideWhenUsed/>
    <w:rsid w:val="00E90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213216">
      <w:bodyDiv w:val="1"/>
      <w:marLeft w:val="0"/>
      <w:marRight w:val="0"/>
      <w:marTop w:val="0"/>
      <w:marBottom w:val="0"/>
      <w:divBdr>
        <w:top w:val="none" w:sz="0" w:space="0" w:color="auto"/>
        <w:left w:val="none" w:sz="0" w:space="0" w:color="auto"/>
        <w:bottom w:val="none" w:sz="0" w:space="0" w:color="auto"/>
        <w:right w:val="none" w:sz="0" w:space="0" w:color="auto"/>
      </w:divBdr>
    </w:div>
    <w:div w:id="1666785685">
      <w:bodyDiv w:val="1"/>
      <w:marLeft w:val="0"/>
      <w:marRight w:val="0"/>
      <w:marTop w:val="0"/>
      <w:marBottom w:val="0"/>
      <w:divBdr>
        <w:top w:val="none" w:sz="0" w:space="0" w:color="auto"/>
        <w:left w:val="none" w:sz="0" w:space="0" w:color="auto"/>
        <w:bottom w:val="none" w:sz="0" w:space="0" w:color="auto"/>
        <w:right w:val="none" w:sz="0" w:space="0" w:color="auto"/>
      </w:divBdr>
    </w:div>
    <w:div w:id="1799060271">
      <w:bodyDiv w:val="1"/>
      <w:marLeft w:val="0"/>
      <w:marRight w:val="0"/>
      <w:marTop w:val="0"/>
      <w:marBottom w:val="0"/>
      <w:divBdr>
        <w:top w:val="none" w:sz="0" w:space="0" w:color="auto"/>
        <w:left w:val="none" w:sz="0" w:space="0" w:color="auto"/>
        <w:bottom w:val="none" w:sz="0" w:space="0" w:color="auto"/>
        <w:right w:val="none" w:sz="0" w:space="0" w:color="auto"/>
      </w:divBdr>
    </w:div>
    <w:div w:id="181628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C6265-15E1-4D61-A274-86393232E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6401</Words>
  <Characters>36487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Corte dei Conti</Company>
  <LinksUpToDate>false</LinksUpToDate>
  <CharactersWithSpaces>42803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Matta Vittoria</dc:creator>
  <cp:keywords/>
  <dc:description/>
  <cp:lastModifiedBy>Perrotta Rosaria Giovanna</cp:lastModifiedBy>
  <cp:revision>3</cp:revision>
  <cp:lastPrinted>2018-11-20T09:33:00Z</cp:lastPrinted>
  <dcterms:created xsi:type="dcterms:W3CDTF">2018-11-27T09:22:00Z</dcterms:created>
  <dcterms:modified xsi:type="dcterms:W3CDTF">2018-11-27T09:24:00Z</dcterms:modified>
</cp:coreProperties>
</file>