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DED" w:rsidRPr="00E35829" w:rsidRDefault="00EF6DED" w:rsidP="007402BB">
      <w:pPr>
        <w:jc w:val="both"/>
        <w:rPr>
          <w:b/>
          <w:sz w:val="28"/>
          <w:szCs w:val="28"/>
        </w:rPr>
      </w:pPr>
      <w:r w:rsidRPr="00E35829">
        <w:rPr>
          <w:b/>
          <w:sz w:val="28"/>
          <w:szCs w:val="28"/>
        </w:rPr>
        <w:t>ACCORDO DONNE IN FERROVIA (WIR)</w:t>
      </w:r>
    </w:p>
    <w:p w:rsidR="00EF6DED" w:rsidRPr="00E35829" w:rsidRDefault="00EF6DED" w:rsidP="007402BB">
      <w:pPr>
        <w:jc w:val="both"/>
        <w:rPr>
          <w:b/>
          <w:sz w:val="28"/>
          <w:szCs w:val="28"/>
        </w:rPr>
      </w:pPr>
      <w:r w:rsidRPr="00E35829">
        <w:rPr>
          <w:b/>
          <w:sz w:val="28"/>
          <w:szCs w:val="28"/>
        </w:rPr>
        <w:t>BANDO DI APPROVAZIONE DELLA SEZIONE FERROVIARIA</w:t>
      </w:r>
    </w:p>
    <w:p w:rsidR="00F55B7A" w:rsidRDefault="00F55B7A" w:rsidP="007402BB">
      <w:pPr>
        <w:jc w:val="both"/>
      </w:pPr>
    </w:p>
    <w:p w:rsidR="00E35829" w:rsidRDefault="00E35829" w:rsidP="007402BB">
      <w:pPr>
        <w:jc w:val="both"/>
        <w:rPr>
          <w:b/>
        </w:rPr>
      </w:pPr>
    </w:p>
    <w:p w:rsidR="00E35829" w:rsidRDefault="00E35829" w:rsidP="007402BB">
      <w:pPr>
        <w:jc w:val="both"/>
        <w:rPr>
          <w:b/>
        </w:rPr>
      </w:pPr>
    </w:p>
    <w:p w:rsidR="00EF6DED" w:rsidRPr="00E35829" w:rsidRDefault="007B6A8C" w:rsidP="007402BB">
      <w:pPr>
        <w:jc w:val="both"/>
        <w:rPr>
          <w:b/>
        </w:rPr>
      </w:pPr>
      <w:r w:rsidRPr="00E35829">
        <w:rPr>
          <w:b/>
        </w:rPr>
        <w:t>Premessa</w:t>
      </w:r>
    </w:p>
    <w:p w:rsidR="00EF6DED" w:rsidRPr="00EF6DED" w:rsidRDefault="0037761D" w:rsidP="007402BB">
      <w:pPr>
        <w:jc w:val="both"/>
      </w:pPr>
      <w:r>
        <w:t>Risale al</w:t>
      </w:r>
      <w:r w:rsidR="00EF6DED" w:rsidRPr="00EF6DED">
        <w:t xml:space="preserve"> 2003/2004 </w:t>
      </w:r>
      <w:r>
        <w:t xml:space="preserve">l’ultima occasione in cui </w:t>
      </w:r>
      <w:r w:rsidR="00EF6DED" w:rsidRPr="00EF6DED">
        <w:t>le parti sociali europee del settore ferroviario negozia</w:t>
      </w:r>
      <w:r>
        <w:t>rono</w:t>
      </w:r>
      <w:r w:rsidR="00EF6DED" w:rsidRPr="00EF6DED">
        <w:t xml:space="preserve"> e firma</w:t>
      </w:r>
      <w:r>
        <w:t>rono</w:t>
      </w:r>
      <w:r w:rsidR="00EF6DED" w:rsidRPr="00EF6DED">
        <w:t xml:space="preserve"> accordi vincolanti (all'epoca </w:t>
      </w:r>
      <w:r>
        <w:t>in base all’</w:t>
      </w:r>
      <w:r w:rsidR="00EF6DED" w:rsidRPr="00EF6DED">
        <w:t>articolo 139</w:t>
      </w:r>
      <w:r w:rsidR="007B6A8C">
        <w:t xml:space="preserve"> TCE, cioè del </w:t>
      </w:r>
      <w:r w:rsidR="007B6A8C" w:rsidRPr="007B6A8C">
        <w:rPr>
          <w:bCs/>
        </w:rPr>
        <w:t>Trattato</w:t>
      </w:r>
      <w:r w:rsidR="007B6A8C" w:rsidRPr="007B6A8C">
        <w:t> che istituisce la Comunità europea</w:t>
      </w:r>
      <w:r w:rsidR="00EF6DED" w:rsidRPr="00EF6DED">
        <w:t>):</w:t>
      </w:r>
    </w:p>
    <w:p w:rsidR="00EF6DED" w:rsidRPr="00EF6DED" w:rsidRDefault="00EF6DED" w:rsidP="007402BB">
      <w:pPr>
        <w:pStyle w:val="Paragrafoelenco"/>
        <w:numPr>
          <w:ilvl w:val="0"/>
          <w:numId w:val="1"/>
        </w:numPr>
        <w:jc w:val="both"/>
      </w:pPr>
      <w:r w:rsidRPr="00EF6DED">
        <w:t xml:space="preserve">Accordo, recepito come Direttiva </w:t>
      </w:r>
      <w:r w:rsidR="0037761D" w:rsidRPr="00EF6DED">
        <w:t xml:space="preserve">del Consiglio </w:t>
      </w:r>
      <w:r w:rsidRPr="00EF6DED">
        <w:t>2005/47/CE sulle condizioni di lavoro dei lavoratori mobili delle ferrovie nel servizio di interoperabilità transfrontaliera;</w:t>
      </w:r>
    </w:p>
    <w:p w:rsidR="00EF6DED" w:rsidRPr="00EF6DED" w:rsidRDefault="00EF6DED" w:rsidP="007402BB">
      <w:pPr>
        <w:pStyle w:val="Paragrafoelenco"/>
        <w:numPr>
          <w:ilvl w:val="0"/>
          <w:numId w:val="1"/>
        </w:numPr>
        <w:jc w:val="both"/>
      </w:pPr>
      <w:r w:rsidRPr="00EF6DED">
        <w:t xml:space="preserve">Accordo autonomo, in parte recepito dalle parti sociali e </w:t>
      </w:r>
      <w:r w:rsidR="00E35829">
        <w:t>il test</w:t>
      </w:r>
      <w:r w:rsidR="00E35829" w:rsidRPr="00E35829">
        <w:t>o</w:t>
      </w:r>
      <w:r w:rsidRPr="00E35829">
        <w:t xml:space="preserve"> principale in</w:t>
      </w:r>
      <w:r w:rsidR="00E35829" w:rsidRPr="00E35829">
        <w:t>seri</w:t>
      </w:r>
      <w:r w:rsidRPr="00E35829">
        <w:t>to dai legislatori UE nella Direttiva sull</w:t>
      </w:r>
      <w:r w:rsidR="0037761D" w:rsidRPr="00E35829">
        <w:t>a</w:t>
      </w:r>
      <w:r w:rsidRPr="00E35829">
        <w:t xml:space="preserve"> </w:t>
      </w:r>
      <w:r w:rsidR="0037761D" w:rsidRPr="00E35829">
        <w:t>licenza</w:t>
      </w:r>
      <w:r w:rsidRPr="0037761D">
        <w:t xml:space="preserve"> d</w:t>
      </w:r>
      <w:r w:rsidR="0037761D" w:rsidRPr="0037761D">
        <w:t>e</w:t>
      </w:r>
      <w:r w:rsidRPr="0037761D">
        <w:t xml:space="preserve">i </w:t>
      </w:r>
      <w:r w:rsidR="0037761D">
        <w:t>macchinisti</w:t>
      </w:r>
      <w:r w:rsidRPr="00EF6DED">
        <w:t xml:space="preserve"> 2007/59/CE.</w:t>
      </w:r>
    </w:p>
    <w:p w:rsidR="00E35829" w:rsidRDefault="00E35829" w:rsidP="007402BB">
      <w:pPr>
        <w:jc w:val="both"/>
        <w:rPr>
          <w:lang w:val="en-GB"/>
        </w:rPr>
      </w:pPr>
    </w:p>
    <w:p w:rsidR="00EF6DED" w:rsidRPr="00EF6DED" w:rsidRDefault="00EF6DED" w:rsidP="007402BB">
      <w:pPr>
        <w:jc w:val="both"/>
      </w:pPr>
      <w:r w:rsidRPr="00EF6DED">
        <w:t xml:space="preserve">Nel 2008/2009 le parti sociali hanno negoziato la “nota a piè di pagina” della direttiva 2005/47/CE (sul numero di riposi consecutivi fuori </w:t>
      </w:r>
      <w:r w:rsidR="00734FA5">
        <w:t>residenza</w:t>
      </w:r>
      <w:r w:rsidRPr="00EF6DED">
        <w:t>). I negoziati sono falliti con la conseguenza che il dialogo sociale europeo in ambito ferroviario si è</w:t>
      </w:r>
      <w:r w:rsidR="00734FA5">
        <w:t xml:space="preserve"> bloccato</w:t>
      </w:r>
      <w:r w:rsidRPr="00EF6DED">
        <w:t>.</w:t>
      </w:r>
    </w:p>
    <w:p w:rsidR="00F55B7A" w:rsidRDefault="00F55B7A" w:rsidP="007402BB">
      <w:pPr>
        <w:jc w:val="both"/>
      </w:pPr>
    </w:p>
    <w:p w:rsidR="00EF6DED" w:rsidRPr="00EF6DED" w:rsidRDefault="00EF6DED" w:rsidP="007402BB">
      <w:pPr>
        <w:jc w:val="both"/>
      </w:pPr>
      <w:r w:rsidRPr="00EF6DED">
        <w:t>Dopo un "processo di rivitalizzazione" e su insistenza dell'ETF, la CER ha accettato di includere il principio di negoziare accordi vincolanti nel Programma di lavoro 2018/2019, a partire dalle "Raccomandazioni congiunte CER-ETF su una migliore rappresentazione e integrazione delle donne nel settore ferroviario”</w:t>
      </w:r>
      <w:r w:rsidR="00F55B7A" w:rsidRPr="00F55B7A">
        <w:rPr>
          <w:rFonts w:ascii="Trebuchet MS" w:hAnsi="Trebuchet MS"/>
        </w:rPr>
        <w:t xml:space="preserve"> </w:t>
      </w:r>
      <w:r w:rsidR="00F55B7A" w:rsidRPr="00F55B7A">
        <w:t>(</w:t>
      </w:r>
      <w:hyperlink r:id="rId8" w:history="1">
        <w:r w:rsidR="00F55B7A" w:rsidRPr="00F55B7A">
          <w:rPr>
            <w:rStyle w:val="Collegamentoipertestuale"/>
          </w:rPr>
          <w:t>https://www.etf-europe.org/resource/cer-etf-joint-recommendations-for-a-better-representation-and-integration-of-women-in-the-railway-sector-2007/</w:t>
        </w:r>
      </w:hyperlink>
      <w:r w:rsidR="00F55B7A">
        <w:t xml:space="preserve"> ).</w:t>
      </w:r>
    </w:p>
    <w:p w:rsidR="00DD7B95" w:rsidRDefault="00FA6C76" w:rsidP="007402BB">
      <w:pPr>
        <w:jc w:val="both"/>
      </w:pPr>
    </w:p>
    <w:p w:rsidR="00F55B7A" w:rsidRPr="00F55B7A" w:rsidRDefault="00F55B7A" w:rsidP="007402BB">
      <w:pPr>
        <w:jc w:val="both"/>
      </w:pPr>
      <w:r w:rsidRPr="00F55B7A">
        <w:t xml:space="preserve">ETF e CER hanno concordato di iniziare con le Raccomandazioni </w:t>
      </w:r>
      <w:r w:rsidR="00734FA5">
        <w:t>C</w:t>
      </w:r>
      <w:r w:rsidRPr="00F55B7A">
        <w:t>o</w:t>
      </w:r>
      <w:r w:rsidR="00734FA5">
        <w:t>muni</w:t>
      </w:r>
      <w:r w:rsidRPr="00F55B7A">
        <w:t xml:space="preserve"> su</w:t>
      </w:r>
      <w:r w:rsidR="00734FA5">
        <w:t xml:space="preserve"> </w:t>
      </w:r>
      <w:proofErr w:type="spellStart"/>
      <w:r w:rsidR="00734FA5">
        <w:t>Women</w:t>
      </w:r>
      <w:proofErr w:type="spellEnd"/>
      <w:r w:rsidR="00734FA5">
        <w:t xml:space="preserve"> in </w:t>
      </w:r>
      <w:proofErr w:type="spellStart"/>
      <w:r w:rsidR="00734FA5">
        <w:t>RAil</w:t>
      </w:r>
      <w:proofErr w:type="spellEnd"/>
      <w:r w:rsidRPr="00F55B7A">
        <w:t xml:space="preserve"> </w:t>
      </w:r>
      <w:r w:rsidR="00734FA5">
        <w:t>(</w:t>
      </w:r>
      <w:r w:rsidRPr="00F55B7A">
        <w:t>WIR</w:t>
      </w:r>
      <w:r w:rsidR="00734FA5">
        <w:t>)</w:t>
      </w:r>
      <w:r w:rsidR="00734FA5" w:rsidRPr="00734FA5">
        <w:t xml:space="preserve"> </w:t>
      </w:r>
      <w:r w:rsidR="00734FA5" w:rsidRPr="00F55B7A">
        <w:t>anche</w:t>
      </w:r>
      <w:r w:rsidR="00734FA5">
        <w:t xml:space="preserve"> perché </w:t>
      </w:r>
      <w:r w:rsidRPr="00F55B7A">
        <w:t>la rendicontazione annuale (relazioni WIR:</w:t>
      </w:r>
      <w:r w:rsidRPr="00F55B7A">
        <w:rPr>
          <w:rFonts w:ascii="Trebuchet MS" w:hAnsi="Trebuchet MS"/>
          <w:color w:val="0563C1" w:themeColor="hyperlink"/>
          <w:u w:val="single"/>
        </w:rPr>
        <w:t xml:space="preserve"> </w:t>
      </w:r>
      <w:hyperlink r:id="rId9" w:history="1">
        <w:proofErr w:type="gramStart"/>
        <w:r w:rsidRPr="00F55B7A">
          <w:rPr>
            <w:rStyle w:val="Collegamentoipertestuale"/>
          </w:rPr>
          <w:t>https://www.etf-europe.org/rail-social-partners-launch-6th-annual-report-on-women-in-rail/</w:t>
        </w:r>
      </w:hyperlink>
      <w:r>
        <w:t xml:space="preserve"> )</w:t>
      </w:r>
      <w:proofErr w:type="gramEnd"/>
      <w:r>
        <w:t xml:space="preserve"> </w:t>
      </w:r>
      <w:r w:rsidRPr="00F55B7A">
        <w:t xml:space="preserve">non ha mostrato alcun progresso dalla firma </w:t>
      </w:r>
      <w:r w:rsidRPr="00734FA5">
        <w:t>del</w:t>
      </w:r>
      <w:r w:rsidR="00734FA5" w:rsidRPr="00734FA5">
        <w:t>le Raccomandazioni</w:t>
      </w:r>
      <w:r w:rsidRPr="00734FA5">
        <w:t>.</w:t>
      </w:r>
    </w:p>
    <w:p w:rsidR="00F55B7A" w:rsidRDefault="00F55B7A" w:rsidP="007402BB">
      <w:pPr>
        <w:jc w:val="both"/>
        <w:rPr>
          <w:b/>
        </w:rPr>
      </w:pPr>
    </w:p>
    <w:p w:rsidR="00E35829" w:rsidRDefault="00E35829" w:rsidP="007402BB">
      <w:pPr>
        <w:jc w:val="both"/>
        <w:rPr>
          <w:b/>
        </w:rPr>
      </w:pPr>
    </w:p>
    <w:p w:rsidR="00F55B7A" w:rsidRPr="00F55B7A" w:rsidRDefault="00F55B7A" w:rsidP="007402BB">
      <w:pPr>
        <w:jc w:val="both"/>
        <w:rPr>
          <w:b/>
        </w:rPr>
      </w:pPr>
      <w:r w:rsidRPr="00F55B7A">
        <w:rPr>
          <w:b/>
        </w:rPr>
        <w:t>Cronologia delle trattative</w:t>
      </w:r>
    </w:p>
    <w:p w:rsidR="00F55B7A" w:rsidRPr="00F55B7A" w:rsidRDefault="00F55B7A" w:rsidP="007402BB">
      <w:pPr>
        <w:jc w:val="both"/>
      </w:pPr>
      <w:proofErr w:type="spellStart"/>
      <w:r w:rsidRPr="003F72B4">
        <w:rPr>
          <w:b/>
        </w:rPr>
        <w:t>Dic</w:t>
      </w:r>
      <w:proofErr w:type="spellEnd"/>
      <w:r w:rsidRPr="003F72B4">
        <w:rPr>
          <w:b/>
        </w:rPr>
        <w:t>. 2018</w:t>
      </w:r>
      <w:r w:rsidRPr="00F55B7A">
        <w:t xml:space="preserve">: Decisione di negoziare un </w:t>
      </w:r>
      <w:r w:rsidR="00734FA5">
        <w:t xml:space="preserve">accordo autonomo </w:t>
      </w:r>
      <w:proofErr w:type="spellStart"/>
      <w:r w:rsidR="00734FA5" w:rsidRPr="00F55B7A">
        <w:t>WiR</w:t>
      </w:r>
      <w:proofErr w:type="spellEnd"/>
      <w:r w:rsidR="00734FA5">
        <w:t xml:space="preserve"> in base all’</w:t>
      </w:r>
      <w:r w:rsidRPr="00F55B7A">
        <w:t xml:space="preserve">art. 155 </w:t>
      </w:r>
      <w:r w:rsidR="007B6A8C" w:rsidRPr="007B6A8C">
        <w:rPr>
          <w:b/>
          <w:bCs/>
        </w:rPr>
        <w:t>TFUE</w:t>
      </w:r>
      <w:r w:rsidR="007B6A8C" w:rsidRPr="007B6A8C">
        <w:t xml:space="preserve"> </w:t>
      </w:r>
      <w:r w:rsidR="007B6A8C">
        <w:t>(</w:t>
      </w:r>
      <w:r w:rsidR="007B6A8C" w:rsidRPr="007B6A8C">
        <w:t>trattato sul funzionamento dell'Unione europea</w:t>
      </w:r>
      <w:r w:rsidR="007B6A8C">
        <w:t>)</w:t>
      </w:r>
    </w:p>
    <w:p w:rsidR="00F55B7A" w:rsidRPr="00F55B7A" w:rsidRDefault="00F55B7A" w:rsidP="007402BB">
      <w:pPr>
        <w:jc w:val="both"/>
      </w:pPr>
      <w:r w:rsidRPr="003F72B4">
        <w:rPr>
          <w:b/>
        </w:rPr>
        <w:t>2019</w:t>
      </w:r>
      <w:r w:rsidRPr="00F55B7A">
        <w:t>: Lavori preparatori della Task Force WIR</w:t>
      </w:r>
      <w:r w:rsidR="003F72B4">
        <w:t xml:space="preserve"> (con componenti CER ed ETF)</w:t>
      </w:r>
    </w:p>
    <w:p w:rsidR="00F55B7A" w:rsidRPr="00F55B7A" w:rsidRDefault="00F55B7A" w:rsidP="007402BB">
      <w:pPr>
        <w:jc w:val="both"/>
      </w:pPr>
      <w:r w:rsidRPr="003F72B4">
        <w:rPr>
          <w:b/>
        </w:rPr>
        <w:t>Giugno 2019</w:t>
      </w:r>
      <w:r w:rsidRPr="00F55B7A">
        <w:t>: decisione della sezione ferroviaria sul mandato e sulla delegazione negoziale dell'ETF</w:t>
      </w:r>
    </w:p>
    <w:p w:rsidR="00F55B7A" w:rsidRPr="00F55B7A" w:rsidRDefault="00F55B7A" w:rsidP="007402BB">
      <w:pPr>
        <w:jc w:val="both"/>
      </w:pPr>
      <w:r w:rsidRPr="003F72B4">
        <w:rPr>
          <w:b/>
        </w:rPr>
        <w:t>Luglio 2019</w:t>
      </w:r>
      <w:r w:rsidRPr="00F55B7A">
        <w:t>: Decisione delle Parti Sociali sull'avvio delle trattative e sul “campo di applicazione”</w:t>
      </w:r>
    </w:p>
    <w:p w:rsidR="00F55B7A" w:rsidRPr="00F55B7A" w:rsidRDefault="00F55B7A" w:rsidP="007402BB">
      <w:pPr>
        <w:jc w:val="both"/>
      </w:pPr>
      <w:proofErr w:type="spellStart"/>
      <w:r w:rsidRPr="003F72B4">
        <w:rPr>
          <w:b/>
        </w:rPr>
        <w:t>Ott</w:t>
      </w:r>
      <w:proofErr w:type="spellEnd"/>
      <w:r w:rsidRPr="003F72B4">
        <w:rPr>
          <w:b/>
        </w:rPr>
        <w:t>. 2019</w:t>
      </w:r>
      <w:r w:rsidRPr="00F55B7A">
        <w:t xml:space="preserve">: Inizio delle trattative (Ott.+Dic.2019, </w:t>
      </w:r>
      <w:proofErr w:type="spellStart"/>
      <w:r w:rsidRPr="00F55B7A">
        <w:t>Feb</w:t>
      </w:r>
      <w:proofErr w:type="spellEnd"/>
      <w:r w:rsidRPr="00F55B7A">
        <w:t>. 2020: 1° blocco)</w:t>
      </w:r>
    </w:p>
    <w:p w:rsidR="00F55B7A" w:rsidRPr="00F55B7A" w:rsidRDefault="00F55B7A" w:rsidP="007402BB">
      <w:pPr>
        <w:jc w:val="both"/>
      </w:pPr>
      <w:r w:rsidRPr="003F72B4">
        <w:rPr>
          <w:b/>
        </w:rPr>
        <w:t>Maggio 2020</w:t>
      </w:r>
      <w:r w:rsidRPr="00F55B7A">
        <w:t>: sblocco e compromesso</w:t>
      </w:r>
    </w:p>
    <w:p w:rsidR="00F55B7A" w:rsidRPr="00F55B7A" w:rsidRDefault="00F55B7A" w:rsidP="007402BB">
      <w:pPr>
        <w:jc w:val="both"/>
      </w:pPr>
      <w:proofErr w:type="spellStart"/>
      <w:r w:rsidRPr="003F72B4">
        <w:rPr>
          <w:b/>
        </w:rPr>
        <w:t>Ott</w:t>
      </w:r>
      <w:proofErr w:type="spellEnd"/>
      <w:r w:rsidRPr="003F72B4">
        <w:rPr>
          <w:b/>
        </w:rPr>
        <w:t>. 2020</w:t>
      </w:r>
      <w:r w:rsidRPr="00F55B7A">
        <w:t xml:space="preserve">: Riavvio </w:t>
      </w:r>
      <w:r w:rsidR="003F72B4">
        <w:t xml:space="preserve">degli incontri in modalità </w:t>
      </w:r>
      <w:r w:rsidRPr="00F55B7A">
        <w:t>virtuale e 2° blocco delle trattative</w:t>
      </w:r>
    </w:p>
    <w:p w:rsidR="00F55B7A" w:rsidRPr="00F55B7A" w:rsidRDefault="00F55B7A" w:rsidP="007402BB">
      <w:pPr>
        <w:jc w:val="both"/>
      </w:pPr>
      <w:r w:rsidRPr="003F72B4">
        <w:rPr>
          <w:b/>
        </w:rPr>
        <w:t>Marzo 2021</w:t>
      </w:r>
      <w:r w:rsidRPr="00F55B7A">
        <w:t>: Decisione su un nuovo metodo (es. incontri</w:t>
      </w:r>
      <w:r w:rsidR="00734FA5">
        <w:t xml:space="preserve"> </w:t>
      </w:r>
      <w:r w:rsidR="00734FA5" w:rsidRPr="00F55B7A">
        <w:t>2</w:t>
      </w:r>
      <w:r w:rsidR="00734FA5">
        <w:t xml:space="preserve"> membri CER</w:t>
      </w:r>
      <w:r w:rsidR="00734FA5" w:rsidRPr="00F55B7A">
        <w:t>+2</w:t>
      </w:r>
      <w:r w:rsidR="00734FA5" w:rsidRPr="00734FA5">
        <w:t xml:space="preserve"> membri</w:t>
      </w:r>
      <w:r w:rsidR="00734FA5">
        <w:t xml:space="preserve"> </w:t>
      </w:r>
      <w:r w:rsidR="00734FA5" w:rsidRPr="00734FA5">
        <w:t>ETF</w:t>
      </w:r>
      <w:r w:rsidRPr="00F55B7A">
        <w:t>)</w:t>
      </w:r>
    </w:p>
    <w:p w:rsidR="00F55B7A" w:rsidRPr="00F55B7A" w:rsidRDefault="00F55B7A" w:rsidP="007402BB">
      <w:pPr>
        <w:jc w:val="both"/>
      </w:pPr>
      <w:r w:rsidRPr="003F72B4">
        <w:rPr>
          <w:b/>
        </w:rPr>
        <w:t>Maggio – giugno 2021</w:t>
      </w:r>
      <w:r w:rsidRPr="00F55B7A">
        <w:t xml:space="preserve">: 7 round negoziali </w:t>
      </w:r>
      <w:r w:rsidR="00734FA5">
        <w:t>da remoto</w:t>
      </w:r>
    </w:p>
    <w:p w:rsidR="00F55B7A" w:rsidRPr="00F55B7A" w:rsidRDefault="00F55B7A" w:rsidP="007402BB">
      <w:pPr>
        <w:jc w:val="both"/>
      </w:pPr>
      <w:r w:rsidRPr="003F72B4">
        <w:rPr>
          <w:b/>
        </w:rPr>
        <w:t>Luglio – Settembre 2021</w:t>
      </w:r>
      <w:r w:rsidRPr="00F55B7A">
        <w:t xml:space="preserve">: </w:t>
      </w:r>
      <w:r w:rsidRPr="003F72B4">
        <w:t>Processo</w:t>
      </w:r>
      <w:r w:rsidRPr="00F55B7A">
        <w:t xml:space="preserve"> di </w:t>
      </w:r>
      <w:r w:rsidR="003F72B4" w:rsidRPr="00F55B7A">
        <w:t>stesura</w:t>
      </w:r>
      <w:r w:rsidRPr="00F55B7A">
        <w:t xml:space="preserve"> da parte del gruppo di redazione</w:t>
      </w:r>
    </w:p>
    <w:p w:rsidR="00F55B7A" w:rsidRPr="00F55B7A" w:rsidRDefault="00F55B7A" w:rsidP="007402BB">
      <w:pPr>
        <w:jc w:val="both"/>
      </w:pPr>
      <w:r w:rsidRPr="003F72B4">
        <w:rPr>
          <w:b/>
        </w:rPr>
        <w:t>16 settembre 2021</w:t>
      </w:r>
      <w:r w:rsidRPr="00F55B7A">
        <w:t>: Il Comitato Direttivo della Sezione Ferroviaria ha deciso all'unanimità di raccomandare alla Sezione Ferroviaria di approvare l'accordo</w:t>
      </w:r>
    </w:p>
    <w:p w:rsidR="00F55B7A" w:rsidRPr="00F55B7A" w:rsidRDefault="00F55B7A" w:rsidP="007402BB">
      <w:pPr>
        <w:jc w:val="both"/>
      </w:pPr>
      <w:r w:rsidRPr="003F72B4">
        <w:rPr>
          <w:b/>
        </w:rPr>
        <w:t>20 settembre 2021</w:t>
      </w:r>
      <w:r w:rsidRPr="00F55B7A">
        <w:t>: Approvazione dell'accordo da parte dell'Assemblea Generale del</w:t>
      </w:r>
      <w:r w:rsidR="00734FA5">
        <w:t>la</w:t>
      </w:r>
      <w:r w:rsidRPr="00F55B7A">
        <w:t xml:space="preserve"> CER</w:t>
      </w:r>
    </w:p>
    <w:p w:rsidR="00F55B7A" w:rsidRPr="00F55B7A" w:rsidRDefault="00F55B7A" w:rsidP="007402BB">
      <w:pPr>
        <w:jc w:val="both"/>
      </w:pPr>
      <w:r w:rsidRPr="003F72B4">
        <w:rPr>
          <w:b/>
        </w:rPr>
        <w:t>27 ottobre 2021</w:t>
      </w:r>
      <w:r w:rsidRPr="00F55B7A">
        <w:t xml:space="preserve">: </w:t>
      </w:r>
      <w:r w:rsidR="003F72B4">
        <w:t>incontro per l’a</w:t>
      </w:r>
      <w:r w:rsidRPr="00F55B7A">
        <w:t xml:space="preserve">pprovazione della sezione ferroviaria dell'ETF </w:t>
      </w:r>
    </w:p>
    <w:p w:rsidR="00F55B7A" w:rsidRPr="00734FA5" w:rsidRDefault="00F55B7A" w:rsidP="007402BB">
      <w:pPr>
        <w:jc w:val="both"/>
      </w:pPr>
      <w:r w:rsidRPr="003F72B4">
        <w:rPr>
          <w:b/>
        </w:rPr>
        <w:t>5 novembre 2021</w:t>
      </w:r>
      <w:r w:rsidRPr="00F55B7A">
        <w:t xml:space="preserve">: </w:t>
      </w:r>
      <w:r w:rsidR="003F72B4">
        <w:t xml:space="preserve">data </w:t>
      </w:r>
      <w:r w:rsidR="003F72B4" w:rsidRPr="00F55B7A">
        <w:t>prevista</w:t>
      </w:r>
      <w:r w:rsidR="003F72B4">
        <w:t xml:space="preserve"> per la</w:t>
      </w:r>
      <w:r w:rsidR="003F72B4" w:rsidRPr="00F55B7A">
        <w:t xml:space="preserve"> </w:t>
      </w:r>
      <w:r w:rsidR="003F72B4">
        <w:t>f</w:t>
      </w:r>
      <w:r w:rsidRPr="00F55B7A">
        <w:t>irma dell'accordo</w:t>
      </w:r>
      <w:r w:rsidR="003F72B4">
        <w:t>.</w:t>
      </w:r>
      <w:r w:rsidRPr="00F55B7A">
        <w:t xml:space="preserve"> </w:t>
      </w:r>
    </w:p>
    <w:p w:rsidR="00F55B7A" w:rsidRDefault="00F55B7A" w:rsidP="007402BB">
      <w:pPr>
        <w:jc w:val="both"/>
      </w:pPr>
    </w:p>
    <w:p w:rsidR="00F55B7A" w:rsidRDefault="00F55B7A" w:rsidP="007402BB">
      <w:pPr>
        <w:jc w:val="both"/>
      </w:pPr>
    </w:p>
    <w:p w:rsidR="00E35829" w:rsidRDefault="00E35829" w:rsidP="007402BB">
      <w:pPr>
        <w:jc w:val="both"/>
        <w:rPr>
          <w:b/>
        </w:rPr>
      </w:pPr>
    </w:p>
    <w:p w:rsidR="00E35829" w:rsidRDefault="00E35829" w:rsidP="007402BB">
      <w:pPr>
        <w:jc w:val="both"/>
        <w:rPr>
          <w:b/>
        </w:rPr>
      </w:pPr>
    </w:p>
    <w:p w:rsidR="00F55B7A" w:rsidRPr="00F55B7A" w:rsidRDefault="00F55B7A" w:rsidP="007402BB">
      <w:pPr>
        <w:jc w:val="both"/>
        <w:rPr>
          <w:b/>
        </w:rPr>
      </w:pPr>
      <w:r w:rsidRPr="00F55B7A">
        <w:rPr>
          <w:b/>
        </w:rPr>
        <w:lastRenderedPageBreak/>
        <w:t>Contenuto dell'accordo autonomo ai sensi dell'articolo 155</w:t>
      </w:r>
      <w:r w:rsidR="003F72B4">
        <w:rPr>
          <w:b/>
        </w:rPr>
        <w:t xml:space="preserve"> TFU</w:t>
      </w:r>
      <w:r w:rsidR="003F72B4">
        <w:rPr>
          <w:b/>
        </w:rPr>
        <w:t>E</w:t>
      </w:r>
    </w:p>
    <w:p w:rsidR="00E35829" w:rsidRDefault="00E35829" w:rsidP="007402BB">
      <w:pPr>
        <w:jc w:val="both"/>
        <w:rPr>
          <w:b/>
          <w:u w:val="single"/>
        </w:rPr>
      </w:pPr>
    </w:p>
    <w:p w:rsidR="00F55B7A" w:rsidRPr="00F55B7A" w:rsidRDefault="00734FA5" w:rsidP="007402BB">
      <w:pPr>
        <w:jc w:val="both"/>
        <w:rPr>
          <w:b/>
        </w:rPr>
      </w:pPr>
      <w:r w:rsidRPr="00734FA5">
        <w:rPr>
          <w:b/>
          <w:u w:val="single"/>
        </w:rPr>
        <w:t>P</w:t>
      </w:r>
      <w:r w:rsidR="00F55B7A" w:rsidRPr="00734FA5">
        <w:rPr>
          <w:b/>
          <w:u w:val="single"/>
        </w:rPr>
        <w:t>rima parte</w:t>
      </w:r>
      <w:r w:rsidR="00F55B7A" w:rsidRPr="00F55B7A">
        <w:rPr>
          <w:b/>
        </w:rPr>
        <w:t>:</w:t>
      </w:r>
    </w:p>
    <w:p w:rsidR="00F55B7A" w:rsidRPr="00F55B7A" w:rsidRDefault="00F55B7A" w:rsidP="007402BB">
      <w:pPr>
        <w:jc w:val="both"/>
      </w:pPr>
      <w:r w:rsidRPr="00F55B7A">
        <w:t xml:space="preserve">L'accordo include un Preambolo, che spiega il contesto e </w:t>
      </w:r>
      <w:r w:rsidR="003F72B4">
        <w:t>l’</w:t>
      </w:r>
      <w:r w:rsidRPr="00F55B7A">
        <w:t>impegn</w:t>
      </w:r>
      <w:r w:rsidR="003F72B4">
        <w:t>o</w:t>
      </w:r>
      <w:r w:rsidRPr="00F55B7A">
        <w:t xml:space="preserve"> delle parti sociali. È importante sottolineare che sia CER che ETF si impegnano a promuovere e attuare i principi ei valori dell'accordo nelle proprie organizzazioni e tra i propri membri.</w:t>
      </w:r>
    </w:p>
    <w:p w:rsidR="00F55B7A" w:rsidRPr="00F55B7A" w:rsidRDefault="00F55B7A" w:rsidP="007402BB">
      <w:pPr>
        <w:jc w:val="both"/>
      </w:pPr>
    </w:p>
    <w:p w:rsidR="003F72B4" w:rsidRDefault="003F72B4" w:rsidP="007402BB">
      <w:pPr>
        <w:jc w:val="both"/>
      </w:pPr>
      <w:r>
        <w:rPr>
          <w:b/>
        </w:rPr>
        <w:t>S</w:t>
      </w:r>
      <w:r w:rsidR="00F55B7A" w:rsidRPr="00734FA5">
        <w:rPr>
          <w:b/>
          <w:u w:val="single"/>
        </w:rPr>
        <w:t>econda parte</w:t>
      </w:r>
      <w:r w:rsidR="00F55B7A" w:rsidRPr="00F55B7A">
        <w:t xml:space="preserve"> </w:t>
      </w:r>
    </w:p>
    <w:p w:rsidR="00F55B7A" w:rsidRPr="00F55B7A" w:rsidRDefault="003F72B4" w:rsidP="007402BB">
      <w:pPr>
        <w:jc w:val="both"/>
      </w:pPr>
      <w:r>
        <w:t xml:space="preserve">E’ composta dal </w:t>
      </w:r>
      <w:r w:rsidR="00F55B7A" w:rsidRPr="00F55B7A">
        <w:t>testo centrale con 10 articoli (qui solo alcuni elementi):</w:t>
      </w:r>
    </w:p>
    <w:p w:rsidR="00F55B7A" w:rsidRPr="00F55B7A" w:rsidRDefault="00F55B7A" w:rsidP="007402BB">
      <w:pPr>
        <w:jc w:val="both"/>
      </w:pPr>
      <w:r w:rsidRPr="00F55B7A">
        <w:rPr>
          <w:b/>
        </w:rPr>
        <w:t>Articolo 1: Scopo dell'accordo</w:t>
      </w:r>
    </w:p>
    <w:p w:rsidR="00F55B7A" w:rsidRPr="00F55B7A" w:rsidRDefault="00F55B7A" w:rsidP="007402BB">
      <w:pPr>
        <w:pStyle w:val="Paragrafoelenco"/>
        <w:numPr>
          <w:ilvl w:val="0"/>
          <w:numId w:val="2"/>
        </w:numPr>
        <w:jc w:val="both"/>
      </w:pPr>
      <w:r w:rsidRPr="00F55B7A">
        <w:t>Con obiettivi chiari per raggiungere l'uguaglianza di genere, una maggiore diversità nelle professioni e una migliore cultura del lavoro</w:t>
      </w:r>
    </w:p>
    <w:p w:rsidR="00F55B7A" w:rsidRPr="002C5F4A" w:rsidRDefault="00F55B7A" w:rsidP="007402BB">
      <w:pPr>
        <w:jc w:val="both"/>
        <w:rPr>
          <w:b/>
        </w:rPr>
      </w:pPr>
      <w:r w:rsidRPr="002C5F4A">
        <w:rPr>
          <w:b/>
        </w:rPr>
        <w:t>Articolo 2: Campo di applicazione</w:t>
      </w:r>
    </w:p>
    <w:p w:rsidR="00F55B7A" w:rsidRPr="00F55B7A" w:rsidRDefault="00F55B7A" w:rsidP="007402BB">
      <w:pPr>
        <w:pStyle w:val="Paragrafoelenco"/>
        <w:numPr>
          <w:ilvl w:val="0"/>
          <w:numId w:val="2"/>
        </w:numPr>
        <w:jc w:val="both"/>
      </w:pPr>
      <w:r w:rsidRPr="00F55B7A">
        <w:t>Riguarda tutti i dipendenti di un settore ferroviario aderente a</w:t>
      </w:r>
      <w:r w:rsidR="002C5F4A">
        <w:t>lla</w:t>
      </w:r>
      <w:r w:rsidRPr="00F55B7A">
        <w:t xml:space="preserve"> </w:t>
      </w:r>
      <w:r w:rsidR="002C5F4A" w:rsidRPr="00F55B7A">
        <w:t>CER</w:t>
      </w:r>
      <w:r w:rsidR="003F72B4">
        <w:t>,</w:t>
      </w:r>
      <w:r w:rsidR="002C5F4A" w:rsidRPr="00F55B7A">
        <w:t xml:space="preserve"> </w:t>
      </w:r>
      <w:r w:rsidR="002C5F4A">
        <w:t>aziende</w:t>
      </w:r>
      <w:r w:rsidRPr="00F55B7A">
        <w:t xml:space="preserve"> consociate e gruppi.</w:t>
      </w:r>
    </w:p>
    <w:p w:rsidR="00F55B7A" w:rsidRPr="002C5F4A" w:rsidRDefault="00F55B7A" w:rsidP="007402BB">
      <w:pPr>
        <w:jc w:val="both"/>
        <w:rPr>
          <w:b/>
        </w:rPr>
      </w:pPr>
      <w:r w:rsidRPr="002C5F4A">
        <w:rPr>
          <w:b/>
        </w:rPr>
        <w:t xml:space="preserve">Articolo 3: Definizioni </w:t>
      </w:r>
      <w:r w:rsidRPr="002C5F4A">
        <w:t>(</w:t>
      </w:r>
      <w:r w:rsidR="003F72B4">
        <w:t xml:space="preserve">il glossario è </w:t>
      </w:r>
      <w:r w:rsidRPr="002C5F4A">
        <w:t>nell'allegato 2)</w:t>
      </w:r>
    </w:p>
    <w:p w:rsidR="00F55B7A" w:rsidRPr="002C5F4A" w:rsidRDefault="00F55B7A" w:rsidP="007402BB">
      <w:pPr>
        <w:jc w:val="both"/>
        <w:rPr>
          <w:b/>
        </w:rPr>
      </w:pPr>
      <w:r w:rsidRPr="002C5F4A">
        <w:rPr>
          <w:b/>
        </w:rPr>
        <w:t>Articolo 4: Principi</w:t>
      </w:r>
    </w:p>
    <w:p w:rsidR="00F55B7A" w:rsidRPr="00F55B7A" w:rsidRDefault="00F55B7A" w:rsidP="007402BB">
      <w:pPr>
        <w:pStyle w:val="Paragrafoelenco"/>
        <w:numPr>
          <w:ilvl w:val="0"/>
          <w:numId w:val="2"/>
        </w:numPr>
        <w:jc w:val="both"/>
      </w:pPr>
      <w:r w:rsidRPr="00F55B7A">
        <w:t>Non discriminazione, parità di trattamento e pari opportunità</w:t>
      </w:r>
    </w:p>
    <w:p w:rsidR="00F55B7A" w:rsidRPr="00F55B7A" w:rsidRDefault="00F55B7A" w:rsidP="007402BB">
      <w:pPr>
        <w:jc w:val="both"/>
      </w:pPr>
      <w:r w:rsidRPr="002C5F4A">
        <w:rPr>
          <w:b/>
        </w:rPr>
        <w:t>Articolo 5: Politica per l'uguaglianza di genere e la diversità</w:t>
      </w:r>
      <w:r w:rsidRPr="00F55B7A">
        <w:t xml:space="preserve"> (</w:t>
      </w:r>
      <w:r w:rsidR="002C5F4A">
        <w:t>aree</w:t>
      </w:r>
      <w:r w:rsidRPr="00F55B7A">
        <w:t xml:space="preserve"> politic</w:t>
      </w:r>
      <w:r w:rsidR="002C5F4A">
        <w:t xml:space="preserve">he </w:t>
      </w:r>
      <w:r w:rsidRPr="00F55B7A">
        <w:t>con principi e misure)</w:t>
      </w:r>
    </w:p>
    <w:p w:rsidR="00F55B7A" w:rsidRPr="00F55B7A" w:rsidRDefault="00F55B7A" w:rsidP="007402BB">
      <w:pPr>
        <w:pStyle w:val="Paragrafoelenco"/>
        <w:numPr>
          <w:ilvl w:val="0"/>
          <w:numId w:val="2"/>
        </w:numPr>
        <w:jc w:val="both"/>
      </w:pPr>
      <w:r w:rsidRPr="00F55B7A">
        <w:t xml:space="preserve">Obbligo per le aziende di definire e attuare una politica di parità di genere e diversità </w:t>
      </w:r>
      <w:r w:rsidR="002C5F4A">
        <w:t>entro</w:t>
      </w:r>
      <w:r w:rsidRPr="00F55B7A">
        <w:t xml:space="preserve"> 24 mesi (Art. 5.1)</w:t>
      </w:r>
    </w:p>
    <w:p w:rsidR="00F55B7A" w:rsidRPr="00F55B7A" w:rsidRDefault="00F55B7A" w:rsidP="007402BB">
      <w:pPr>
        <w:pStyle w:val="Paragrafoelenco"/>
        <w:numPr>
          <w:ilvl w:val="0"/>
          <w:numId w:val="2"/>
        </w:numPr>
        <w:jc w:val="both"/>
      </w:pPr>
      <w:r w:rsidRPr="00F55B7A">
        <w:t xml:space="preserve">Misure obbligatorie in 8 </w:t>
      </w:r>
      <w:r w:rsidR="002C5F4A">
        <w:t>aree</w:t>
      </w:r>
      <w:r w:rsidRPr="00F55B7A">
        <w:t xml:space="preserve"> politic</w:t>
      </w:r>
      <w:r w:rsidR="002C5F4A">
        <w:t>he</w:t>
      </w:r>
      <w:r w:rsidRPr="00F55B7A">
        <w:t xml:space="preserve"> (art. 5.3)</w:t>
      </w:r>
    </w:p>
    <w:p w:rsidR="00F55B7A" w:rsidRPr="002C5F4A" w:rsidRDefault="00F55B7A" w:rsidP="007402BB">
      <w:pPr>
        <w:jc w:val="both"/>
        <w:rPr>
          <w:b/>
        </w:rPr>
      </w:pPr>
      <w:r w:rsidRPr="002C5F4A">
        <w:rPr>
          <w:b/>
        </w:rPr>
        <w:t>Articolo 6: Principi sullo sviluppo e l'attuazione della politica di parità di genere nelle imprese</w:t>
      </w:r>
    </w:p>
    <w:p w:rsidR="00F55B7A" w:rsidRPr="00F55B7A" w:rsidRDefault="00F55B7A" w:rsidP="007402BB">
      <w:pPr>
        <w:pStyle w:val="Paragrafoelenco"/>
        <w:numPr>
          <w:ilvl w:val="0"/>
          <w:numId w:val="2"/>
        </w:numPr>
        <w:jc w:val="both"/>
      </w:pPr>
      <w:r w:rsidRPr="00F55B7A">
        <w:t>L'importante è che lo sviluppo e l'attuazione siano soggetti al dialogo sociale, i sindacati devono essere coinvolti</w:t>
      </w:r>
    </w:p>
    <w:p w:rsidR="00F55B7A" w:rsidRPr="002C5F4A" w:rsidRDefault="00F55B7A" w:rsidP="007402BB">
      <w:pPr>
        <w:jc w:val="both"/>
        <w:rPr>
          <w:b/>
        </w:rPr>
      </w:pPr>
      <w:r w:rsidRPr="002C5F4A">
        <w:rPr>
          <w:b/>
        </w:rPr>
        <w:t xml:space="preserve">Articolo 7: </w:t>
      </w:r>
      <w:r w:rsidRPr="003F72B4">
        <w:rPr>
          <w:b/>
        </w:rPr>
        <w:t>Reporting</w:t>
      </w:r>
    </w:p>
    <w:p w:rsidR="00F55B7A" w:rsidRPr="002C5F4A" w:rsidRDefault="00F55B7A" w:rsidP="007402BB">
      <w:pPr>
        <w:jc w:val="both"/>
        <w:rPr>
          <w:b/>
        </w:rPr>
      </w:pPr>
      <w:r w:rsidRPr="002C5F4A">
        <w:rPr>
          <w:b/>
        </w:rPr>
        <w:t>Articolo 8: R</w:t>
      </w:r>
      <w:r w:rsidR="002C5F4A" w:rsidRPr="002C5F4A">
        <w:rPr>
          <w:b/>
        </w:rPr>
        <w:t>evisione</w:t>
      </w:r>
      <w:r w:rsidRPr="002C5F4A">
        <w:rPr>
          <w:b/>
        </w:rPr>
        <w:t xml:space="preserve"> delle politiche nelle </w:t>
      </w:r>
      <w:r w:rsidR="002C5F4A">
        <w:rPr>
          <w:b/>
        </w:rPr>
        <w:t>imprese</w:t>
      </w:r>
    </w:p>
    <w:p w:rsidR="00F55B7A" w:rsidRPr="002C5F4A" w:rsidRDefault="00F55B7A" w:rsidP="007402BB">
      <w:pPr>
        <w:jc w:val="both"/>
        <w:rPr>
          <w:b/>
        </w:rPr>
      </w:pPr>
      <w:r w:rsidRPr="002C5F4A">
        <w:rPr>
          <w:b/>
        </w:rPr>
        <w:t xml:space="preserve">Articolo 9: </w:t>
      </w:r>
      <w:r w:rsidR="002C5F4A">
        <w:rPr>
          <w:b/>
        </w:rPr>
        <w:t>Revisione</w:t>
      </w:r>
      <w:r w:rsidRPr="002C5F4A">
        <w:rPr>
          <w:b/>
        </w:rPr>
        <w:t xml:space="preserve"> del presente accordo</w:t>
      </w:r>
    </w:p>
    <w:p w:rsidR="00F55B7A" w:rsidRPr="00F55B7A" w:rsidRDefault="00F55B7A" w:rsidP="007402BB">
      <w:pPr>
        <w:pStyle w:val="Paragrafoelenco"/>
        <w:numPr>
          <w:ilvl w:val="0"/>
          <w:numId w:val="2"/>
        </w:numPr>
        <w:jc w:val="both"/>
      </w:pPr>
      <w:r w:rsidRPr="00F55B7A">
        <w:t>Riesame e rinegoziazione delle misure obbligatorie 2 anni dopo la firma, in particolare su</w:t>
      </w:r>
      <w:r w:rsidR="002C5F4A">
        <w:t>lle</w:t>
      </w:r>
      <w:r w:rsidRPr="00F55B7A">
        <w:t xml:space="preserve"> </w:t>
      </w:r>
      <w:r w:rsidR="002C5F4A">
        <w:t>aree politiche</w:t>
      </w:r>
      <w:r w:rsidRPr="00F55B7A">
        <w:t xml:space="preserve"> 2</w:t>
      </w:r>
      <w:r w:rsidR="002C5F4A">
        <w:t xml:space="preserve"> (obiettivi)</w:t>
      </w:r>
      <w:r w:rsidRPr="00F55B7A">
        <w:t>, 4</w:t>
      </w:r>
      <w:r w:rsidR="002C5F4A">
        <w:t xml:space="preserve"> (conciliazione vita lavoro</w:t>
      </w:r>
      <w:r w:rsidRPr="00F55B7A">
        <w:t xml:space="preserve"> e 6</w:t>
      </w:r>
      <w:r w:rsidR="002C5F4A">
        <w:t xml:space="preserve"> (differenziali salariali)</w:t>
      </w:r>
    </w:p>
    <w:p w:rsidR="00F55B7A" w:rsidRPr="002C5F4A" w:rsidRDefault="00F55B7A" w:rsidP="007402BB">
      <w:pPr>
        <w:jc w:val="both"/>
        <w:rPr>
          <w:b/>
        </w:rPr>
      </w:pPr>
      <w:r w:rsidRPr="002C5F4A">
        <w:rPr>
          <w:b/>
        </w:rPr>
        <w:t>Articolo 10: Attuazione e follow-up</w:t>
      </w:r>
    </w:p>
    <w:p w:rsidR="00F55B7A" w:rsidRPr="00F55B7A" w:rsidRDefault="00F55B7A" w:rsidP="007402BB">
      <w:pPr>
        <w:pStyle w:val="Paragrafoelenco"/>
        <w:numPr>
          <w:ilvl w:val="0"/>
          <w:numId w:val="2"/>
        </w:numPr>
        <w:jc w:val="both"/>
      </w:pPr>
      <w:r w:rsidRPr="00F55B7A">
        <w:t xml:space="preserve">Due anni dopo la firma </w:t>
      </w:r>
      <w:r w:rsidR="00D930A7">
        <w:t>la</w:t>
      </w:r>
      <w:r w:rsidRPr="00F55B7A">
        <w:t xml:space="preserve"> CER e i membri dell'ETF devono </w:t>
      </w:r>
      <w:r w:rsidR="00D930A7">
        <w:t>produrre un report</w:t>
      </w:r>
      <w:r w:rsidRPr="00F55B7A">
        <w:t xml:space="preserve"> sull'attuazione dell'accordo</w:t>
      </w:r>
      <w:r w:rsidR="00D930A7">
        <w:t>.</w:t>
      </w:r>
    </w:p>
    <w:p w:rsidR="00734FA5" w:rsidRDefault="00734FA5" w:rsidP="007402BB">
      <w:pPr>
        <w:jc w:val="both"/>
        <w:rPr>
          <w:b/>
          <w:u w:val="single"/>
        </w:rPr>
      </w:pPr>
    </w:p>
    <w:p w:rsidR="001F4536" w:rsidRPr="001F4536" w:rsidRDefault="003F72B4" w:rsidP="007402BB">
      <w:pPr>
        <w:jc w:val="both"/>
        <w:rPr>
          <w:b/>
        </w:rPr>
      </w:pPr>
      <w:r>
        <w:rPr>
          <w:b/>
          <w:u w:val="single"/>
        </w:rPr>
        <w:t>Terza</w:t>
      </w:r>
      <w:r w:rsidR="001F4536" w:rsidRPr="00734FA5">
        <w:rPr>
          <w:b/>
          <w:u w:val="single"/>
        </w:rPr>
        <w:t xml:space="preserve"> parte</w:t>
      </w:r>
      <w:r w:rsidR="001F4536" w:rsidRPr="001F4536">
        <w:rPr>
          <w:b/>
        </w:rPr>
        <w:t>:</w:t>
      </w:r>
    </w:p>
    <w:p w:rsidR="001F4536" w:rsidRPr="001F4536" w:rsidRDefault="001F4536" w:rsidP="007402BB">
      <w:pPr>
        <w:jc w:val="both"/>
      </w:pPr>
      <w:r w:rsidRPr="001F4536">
        <w:rPr>
          <w:b/>
        </w:rPr>
        <w:t>Allegato 1</w:t>
      </w:r>
      <w:r w:rsidRPr="001F4536">
        <w:t>: misure aggiuntive</w:t>
      </w:r>
      <w:r w:rsidR="003F72B4">
        <w:t>,</w:t>
      </w:r>
      <w:r w:rsidR="003F72B4" w:rsidRPr="001F4536">
        <w:t xml:space="preserve"> per </w:t>
      </w:r>
      <w:r w:rsidR="003F72B4">
        <w:t>area</w:t>
      </w:r>
      <w:r w:rsidR="003F72B4" w:rsidRPr="001F4536">
        <w:t xml:space="preserve"> politic</w:t>
      </w:r>
      <w:r w:rsidR="003F72B4">
        <w:t>a</w:t>
      </w:r>
      <w:r w:rsidR="003F72B4" w:rsidRPr="001F4536">
        <w:t>,</w:t>
      </w:r>
      <w:r w:rsidR="003F72B4">
        <w:t xml:space="preserve"> </w:t>
      </w:r>
      <w:r w:rsidR="00D930A7">
        <w:t>fortemente</w:t>
      </w:r>
      <w:r w:rsidRPr="001F4536">
        <w:t xml:space="preserve"> raccomandate o </w:t>
      </w:r>
      <w:r w:rsidR="003F72B4">
        <w:t xml:space="preserve">di </w:t>
      </w:r>
      <w:r w:rsidRPr="001F4536">
        <w:t>possibil</w:t>
      </w:r>
      <w:r w:rsidR="003F72B4">
        <w:t>e attuazione</w:t>
      </w:r>
    </w:p>
    <w:p w:rsidR="001F4536" w:rsidRPr="001F4536" w:rsidRDefault="001F4536" w:rsidP="007402BB">
      <w:pPr>
        <w:jc w:val="both"/>
      </w:pPr>
      <w:r w:rsidRPr="001F4536">
        <w:rPr>
          <w:b/>
        </w:rPr>
        <w:t>Allegato 2</w:t>
      </w:r>
      <w:r w:rsidRPr="001F4536">
        <w:t>: Definizioni e concetti come guida per le imprese e</w:t>
      </w:r>
      <w:r w:rsidR="00D930A7">
        <w:t xml:space="preserve"> per</w:t>
      </w:r>
      <w:r w:rsidRPr="001F4536">
        <w:t xml:space="preserve"> le parti sociali</w:t>
      </w:r>
      <w:r w:rsidR="00D930A7">
        <w:t>.</w:t>
      </w:r>
    </w:p>
    <w:p w:rsidR="001F4536" w:rsidRPr="001F4536" w:rsidRDefault="001F4536" w:rsidP="007402BB">
      <w:pPr>
        <w:jc w:val="both"/>
      </w:pPr>
    </w:p>
    <w:p w:rsidR="001F4536" w:rsidRPr="001F4536" w:rsidRDefault="001F4536" w:rsidP="007402BB">
      <w:pPr>
        <w:jc w:val="both"/>
      </w:pPr>
    </w:p>
    <w:p w:rsidR="001F4536" w:rsidRPr="001F4536" w:rsidRDefault="001F4536" w:rsidP="007402BB">
      <w:pPr>
        <w:jc w:val="both"/>
      </w:pPr>
      <w:bookmarkStart w:id="0" w:name="_GoBack"/>
      <w:r w:rsidRPr="00AE535B">
        <w:rPr>
          <w:b/>
        </w:rPr>
        <w:t>Le aree politiche</w:t>
      </w:r>
      <w:r w:rsidRPr="001F4536">
        <w:t xml:space="preserve"> </w:t>
      </w:r>
      <w:bookmarkEnd w:id="0"/>
      <w:r w:rsidRPr="001F4536">
        <w:t xml:space="preserve">in cui le imprese ferroviarie devono agire (articolo 5.3) coprono tutte le politiche </w:t>
      </w:r>
      <w:r w:rsidR="00262E31">
        <w:t>rilevanti</w:t>
      </w:r>
      <w:r w:rsidRPr="001F4536">
        <w:t xml:space="preserve"> che necessitano di azione per creare un ambiente di lavoro non discriminatorio e che attragga le donne.</w:t>
      </w:r>
    </w:p>
    <w:p w:rsidR="001F4536" w:rsidRPr="001F4536" w:rsidRDefault="001F4536" w:rsidP="007402BB">
      <w:pPr>
        <w:jc w:val="both"/>
      </w:pPr>
    </w:p>
    <w:p w:rsidR="001F4536" w:rsidRPr="001F4536" w:rsidRDefault="001F4536" w:rsidP="007402BB">
      <w:pPr>
        <w:jc w:val="both"/>
      </w:pPr>
      <w:r>
        <w:t xml:space="preserve">Area </w:t>
      </w:r>
      <w:r w:rsidRPr="001F4536">
        <w:t>politic</w:t>
      </w:r>
      <w:r>
        <w:t>a</w:t>
      </w:r>
      <w:r w:rsidRPr="001F4536">
        <w:t xml:space="preserve"> 1: Politica generale in materia di parità di genere</w:t>
      </w:r>
    </w:p>
    <w:p w:rsidR="001F4536" w:rsidRPr="001F4536" w:rsidRDefault="001F4536" w:rsidP="007402BB">
      <w:pPr>
        <w:jc w:val="both"/>
      </w:pPr>
      <w:r w:rsidRPr="001F4536">
        <w:t>Area politica 2: Obiettivi per una rappresentanza equilibrata di genere</w:t>
      </w:r>
    </w:p>
    <w:p w:rsidR="001F4536" w:rsidRPr="001F4536" w:rsidRDefault="001F4536" w:rsidP="007402BB">
      <w:pPr>
        <w:jc w:val="both"/>
      </w:pPr>
      <w:r w:rsidRPr="001F4536">
        <w:t xml:space="preserve">Area politica 3: </w:t>
      </w:r>
      <w:r w:rsidR="00B443C4">
        <w:t>Reclutamento del personale</w:t>
      </w:r>
    </w:p>
    <w:p w:rsidR="001F4536" w:rsidRPr="001F4536" w:rsidRDefault="001F4536" w:rsidP="007402BB">
      <w:pPr>
        <w:jc w:val="both"/>
      </w:pPr>
      <w:r w:rsidRPr="001F4536">
        <w:t>Area politica 4: Conciliazione tra vita lavorativa e vita privata</w:t>
      </w:r>
    </w:p>
    <w:p w:rsidR="001F4536" w:rsidRPr="001F4536" w:rsidRDefault="001F4536" w:rsidP="007402BB">
      <w:pPr>
        <w:jc w:val="both"/>
      </w:pPr>
      <w:r w:rsidRPr="001F4536">
        <w:t>Area politica 5: Sviluppo di carriera</w:t>
      </w:r>
    </w:p>
    <w:p w:rsidR="001F4536" w:rsidRPr="001F4536" w:rsidRDefault="001F4536" w:rsidP="007402BB">
      <w:pPr>
        <w:jc w:val="both"/>
      </w:pPr>
      <w:r w:rsidRPr="001F4536">
        <w:t>Area politica 6: Parità retributiva e divario retributivo di genere</w:t>
      </w:r>
    </w:p>
    <w:p w:rsidR="001F4536" w:rsidRPr="001F4536" w:rsidRDefault="001F4536" w:rsidP="007402BB">
      <w:pPr>
        <w:jc w:val="both"/>
      </w:pPr>
      <w:r w:rsidRPr="001F4536">
        <w:t>Area politica 7: Salute e sicurezza sul lavoro e ambiente di lavoro</w:t>
      </w:r>
    </w:p>
    <w:p w:rsidR="001F4536" w:rsidRDefault="001F4536" w:rsidP="007402BB">
      <w:pPr>
        <w:jc w:val="both"/>
      </w:pPr>
      <w:r w:rsidRPr="001F4536">
        <w:t>Area politica 8: Prevenzione delle molestie sessuali e del sessismo</w:t>
      </w:r>
    </w:p>
    <w:p w:rsidR="0081054B" w:rsidRDefault="0081054B" w:rsidP="007402BB">
      <w:pPr>
        <w:jc w:val="both"/>
      </w:pPr>
    </w:p>
    <w:p w:rsidR="0081054B" w:rsidRPr="00B443C4" w:rsidRDefault="003F72B4" w:rsidP="007402BB">
      <w:pPr>
        <w:jc w:val="both"/>
        <w:rPr>
          <w:b/>
        </w:rPr>
      </w:pPr>
      <w:r w:rsidRPr="003F72B4">
        <w:rPr>
          <w:b/>
        </w:rPr>
        <w:lastRenderedPageBreak/>
        <w:t>Quali sono i principali temi dell’accordo</w:t>
      </w:r>
      <w:r w:rsidR="0081054B" w:rsidRPr="003F72B4">
        <w:rPr>
          <w:b/>
        </w:rPr>
        <w:t xml:space="preserve"> per le </w:t>
      </w:r>
      <w:r w:rsidRPr="003F72B4">
        <w:rPr>
          <w:b/>
        </w:rPr>
        <w:t>lavoratrici</w:t>
      </w:r>
      <w:r w:rsidR="0081054B" w:rsidRPr="003F72B4">
        <w:rPr>
          <w:b/>
        </w:rPr>
        <w:t>?</w:t>
      </w:r>
    </w:p>
    <w:p w:rsidR="0081054B" w:rsidRPr="0081054B" w:rsidRDefault="0081054B" w:rsidP="007402BB">
      <w:pPr>
        <w:jc w:val="both"/>
      </w:pPr>
      <w:r w:rsidRPr="0081054B">
        <w:t>In ogni area politica abbiamo concordato una o più misure obbligatorie, che le aziende devono attuare</w:t>
      </w:r>
      <w:r w:rsidRPr="00E35829">
        <w:rPr>
          <w:b/>
        </w:rPr>
        <w:t>. Solo alcuni esempi</w:t>
      </w:r>
      <w:r w:rsidRPr="0081054B">
        <w:t>:</w:t>
      </w:r>
    </w:p>
    <w:p w:rsidR="0081054B" w:rsidRPr="0081054B" w:rsidRDefault="0081054B" w:rsidP="007402BB">
      <w:pPr>
        <w:jc w:val="both"/>
      </w:pPr>
      <w:r w:rsidRPr="0081054B">
        <w:sym w:font="Symbol" w:char="F0A7"/>
      </w:r>
      <w:r w:rsidRPr="0081054B">
        <w:t xml:space="preserve"> Le aziende devono sviluppare una politica per l'uguaglianza di genere che sia supportata dal management di alto livello, nonché una strategia</w:t>
      </w:r>
      <w:r w:rsidR="00262E31">
        <w:t xml:space="preserve"> aziendale sul tema</w:t>
      </w:r>
      <w:r w:rsidRPr="0081054B">
        <w:t>. Devono adottare un documento politico con elementi chiave definiti.</w:t>
      </w:r>
    </w:p>
    <w:p w:rsidR="0081054B" w:rsidRPr="0081054B" w:rsidRDefault="0081054B" w:rsidP="007402BB">
      <w:pPr>
        <w:jc w:val="both"/>
      </w:pPr>
      <w:r w:rsidRPr="0081054B">
        <w:sym w:font="Symbol" w:char="F0A7"/>
      </w:r>
      <w:r w:rsidRPr="0081054B">
        <w:t xml:space="preserve"> È un obbligo per le aziende puntare a raggiungere una maggiore rappresentanza di genere. Questo riguarda tutti, la forza lavoro, il management, i consigli di amministrazione.</w:t>
      </w:r>
    </w:p>
    <w:p w:rsidR="0081054B" w:rsidRPr="0081054B" w:rsidRDefault="0081054B" w:rsidP="007402BB">
      <w:pPr>
        <w:jc w:val="both"/>
      </w:pPr>
      <w:r w:rsidRPr="0081054B">
        <w:sym w:font="Symbol" w:char="F0A7"/>
      </w:r>
      <w:r w:rsidRPr="0081054B">
        <w:t xml:space="preserve"> Al momento dell'assunzione è ad esempio obbligatorio rivedere la descrizione dei profili professionali e formare i reclutatori al fine di sviluppare competenze e creare consapevolezza sulle pratiche discriminatorie e sul pensiero stereotipato.</w:t>
      </w:r>
    </w:p>
    <w:p w:rsidR="0081054B" w:rsidRPr="0081054B" w:rsidRDefault="0081054B" w:rsidP="007402BB">
      <w:pPr>
        <w:jc w:val="both"/>
      </w:pPr>
      <w:r w:rsidRPr="0081054B">
        <w:sym w:font="Symbol" w:char="F0A7"/>
      </w:r>
      <w:r w:rsidRPr="0081054B">
        <w:t xml:space="preserve"> Le aziende sono obbligate a garantire che le modalità di lavoro flessibili non abbiano un impatto negativo sulle competenze. </w:t>
      </w:r>
      <w:r w:rsidR="00262E31" w:rsidRPr="00262E31">
        <w:t>E’ stata inserita s</w:t>
      </w:r>
      <w:r w:rsidRPr="00262E31">
        <w:t>olo come disposizione</w:t>
      </w:r>
      <w:r w:rsidR="00262E31" w:rsidRPr="00262E31">
        <w:t xml:space="preserve"> facoltativa col verbo</w:t>
      </w:r>
      <w:r w:rsidRPr="00262E31">
        <w:t xml:space="preserve"> "dovrebbe", ma è importante menzionare che</w:t>
      </w:r>
      <w:r w:rsidR="00262E31" w:rsidRPr="00262E31">
        <w:t xml:space="preserve"> essa prevede che</w:t>
      </w:r>
      <w:r w:rsidRPr="00262E31">
        <w:t xml:space="preserve"> le modalità di lavoro flessibili dovrebbero essere rese disponibili in base alle esigenze del dipendente e per tutte le categorie professionali.</w:t>
      </w:r>
    </w:p>
    <w:p w:rsidR="0081054B" w:rsidRPr="0081054B" w:rsidRDefault="0081054B" w:rsidP="007402BB">
      <w:pPr>
        <w:jc w:val="both"/>
      </w:pPr>
      <w:r w:rsidRPr="0081054B">
        <w:sym w:font="Symbol" w:char="F0A7"/>
      </w:r>
      <w:r w:rsidRPr="0081054B">
        <w:t xml:space="preserve"> Per la promozione e lo sviluppo della carriera delle donne, le aziende devono selezionare almeno una donna per le posizioni dirigenziali, </w:t>
      </w:r>
      <w:r w:rsidR="00262E31">
        <w:t xml:space="preserve">le imprese </w:t>
      </w:r>
      <w:r w:rsidRPr="00262E31">
        <w:t xml:space="preserve">devono </w:t>
      </w:r>
      <w:r w:rsidR="00262E31" w:rsidRPr="00262E31">
        <w:t>attivarsi</w:t>
      </w:r>
      <w:r w:rsidR="00262E31" w:rsidRPr="00262E31">
        <w:t xml:space="preserve"> per dare</w:t>
      </w:r>
      <w:r w:rsidRPr="00262E31">
        <w:t xml:space="preserve"> informazioni </w:t>
      </w:r>
      <w:r w:rsidRPr="0081054B">
        <w:t xml:space="preserve">e incoraggiamento </w:t>
      </w:r>
      <w:r w:rsidR="00262E31">
        <w:t>a</w:t>
      </w:r>
      <w:r w:rsidRPr="0081054B">
        <w:t>lle donne a candidarsi per posti di lavoro più elevati.</w:t>
      </w:r>
    </w:p>
    <w:p w:rsidR="0081054B" w:rsidRPr="0081054B" w:rsidRDefault="0081054B" w:rsidP="007402BB">
      <w:pPr>
        <w:jc w:val="both"/>
      </w:pPr>
      <w:r w:rsidRPr="0081054B">
        <w:sym w:font="Symbol" w:char="F0A7"/>
      </w:r>
      <w:r w:rsidRPr="0081054B">
        <w:t xml:space="preserve"> Sulla parità di retribuzione, oltre a diversi principi menzionati nella parte obbligatoria dell'accordo, </w:t>
      </w:r>
      <w:r w:rsidRPr="00262E31">
        <w:t>una misura obbligatoria consiste nel monitorare il livello dei salari di uomini e donne in posizioni comparabili.</w:t>
      </w:r>
      <w:r w:rsidRPr="0081054B">
        <w:t xml:space="preserve"> Questa è una precondizione per la trasparenza</w:t>
      </w:r>
      <w:r w:rsidR="00B443C4">
        <w:t xml:space="preserve"> nel trattamento tra i dipendenti</w:t>
      </w:r>
      <w:r w:rsidRPr="0081054B">
        <w:t>.</w:t>
      </w:r>
    </w:p>
    <w:p w:rsidR="0081054B" w:rsidRPr="0081054B" w:rsidRDefault="0081054B" w:rsidP="007402BB">
      <w:pPr>
        <w:jc w:val="both"/>
      </w:pPr>
      <w:r w:rsidRPr="0081054B">
        <w:sym w:font="Symbol" w:char="F0A7"/>
      </w:r>
      <w:r w:rsidRPr="0081054B">
        <w:t xml:space="preserve"> Per quanto riguarda la salute e la sicurezza sul lavoro e l'ambiente di lavoro, sarà obbligatorio fornire dispositivi di protezione individuale (DPI) specifici per le donne, così come </w:t>
      </w:r>
      <w:r w:rsidRPr="00262E31">
        <w:t>abbiamo</w:t>
      </w:r>
      <w:r w:rsidRPr="0081054B">
        <w:t xml:space="preserve"> definito gli standard per i servizi igienici negli edifici e richiediamo disposizioni in materia di sicurezza e protezione per le donne che lavorano sui treni, soprattutto </w:t>
      </w:r>
      <w:r w:rsidR="00B443C4">
        <w:t>nelle</w:t>
      </w:r>
      <w:r w:rsidRPr="0081054B">
        <w:t xml:space="preserve"> ore</w:t>
      </w:r>
      <w:r w:rsidR="00B443C4">
        <w:t xml:space="preserve"> serali e</w:t>
      </w:r>
      <w:r w:rsidRPr="0081054B">
        <w:t xml:space="preserve"> notturne.</w:t>
      </w:r>
    </w:p>
    <w:p w:rsidR="0081054B" w:rsidRPr="0081054B" w:rsidRDefault="0081054B" w:rsidP="007402BB">
      <w:pPr>
        <w:jc w:val="both"/>
      </w:pPr>
      <w:r w:rsidRPr="0081054B">
        <w:sym w:font="Symbol" w:char="F0A7"/>
      </w:r>
      <w:r w:rsidRPr="0081054B">
        <w:t xml:space="preserve"> </w:t>
      </w:r>
      <w:r w:rsidR="00E73CA3">
        <w:t>Sono state inserite</w:t>
      </w:r>
      <w:r w:rsidRPr="0081054B">
        <w:t xml:space="preserve"> inoltre importanti disposizioni obbligatorie sulla prevenzione delle molestie sessuali e del sessismo, comprese le responsabilità d</w:t>
      </w:r>
      <w:r w:rsidR="00E73CA3">
        <w:t xml:space="preserve">el management </w:t>
      </w:r>
      <w:r w:rsidRPr="0081054B">
        <w:t>o l'obbligo di garantire la privacy alle vittime.</w:t>
      </w:r>
    </w:p>
    <w:p w:rsidR="0081054B" w:rsidRDefault="0081054B" w:rsidP="007402BB">
      <w:pPr>
        <w:jc w:val="both"/>
      </w:pPr>
    </w:p>
    <w:p w:rsidR="00E73CA3" w:rsidRDefault="0081054B" w:rsidP="007402BB">
      <w:pPr>
        <w:jc w:val="both"/>
      </w:pPr>
      <w:r w:rsidRPr="0081054B">
        <w:t xml:space="preserve">Le misure obbligatorie sono completate </w:t>
      </w:r>
      <w:r w:rsidR="00262E31">
        <w:t>da</w:t>
      </w:r>
      <w:r w:rsidRPr="0081054B">
        <w:t xml:space="preserve"> ulteriori misure </w:t>
      </w:r>
      <w:r w:rsidR="00E73CA3">
        <w:t>fortemente</w:t>
      </w:r>
      <w:r w:rsidRPr="0081054B">
        <w:t xml:space="preserve"> raccomandate</w:t>
      </w:r>
      <w:r w:rsidR="00E73CA3">
        <w:t>, inserite</w:t>
      </w:r>
      <w:r w:rsidRPr="0081054B">
        <w:t xml:space="preserve"> nell'Allegato 1. </w:t>
      </w:r>
      <w:r w:rsidR="00E73CA3">
        <w:t>Esaminando</w:t>
      </w:r>
      <w:r w:rsidRPr="0081054B">
        <w:t xml:space="preserve"> entrambi</w:t>
      </w:r>
      <w:r w:rsidR="00E73CA3">
        <w:t xml:space="preserve"> i testi</w:t>
      </w:r>
      <w:r w:rsidRPr="0081054B">
        <w:t xml:space="preserve">, </w:t>
      </w:r>
      <w:r w:rsidR="00E73CA3">
        <w:t>sia i punti inseriti nell'Articolo 5(3) che quelli</w:t>
      </w:r>
      <w:r w:rsidRPr="0081054B">
        <w:t xml:space="preserve"> </w:t>
      </w:r>
      <w:r w:rsidR="00E73CA3">
        <w:t>nell'Allegato 1</w:t>
      </w:r>
      <w:r w:rsidRPr="0081054B">
        <w:t xml:space="preserve">, tutte le misure sviluppate </w:t>
      </w:r>
      <w:r w:rsidR="00262E31">
        <w:t xml:space="preserve">precedentemente </w:t>
      </w:r>
      <w:r w:rsidRPr="0081054B">
        <w:t xml:space="preserve">dalla nostra Task Force sono </w:t>
      </w:r>
      <w:r w:rsidR="00262E31">
        <w:t>incluse</w:t>
      </w:r>
      <w:r w:rsidRPr="0081054B">
        <w:t xml:space="preserve"> </w:t>
      </w:r>
      <w:r w:rsidR="00262E31">
        <w:t>ne</w:t>
      </w:r>
      <w:r w:rsidRPr="0081054B">
        <w:t xml:space="preserve">ll'accordo. </w:t>
      </w:r>
    </w:p>
    <w:p w:rsidR="0081054B" w:rsidRPr="0081054B" w:rsidRDefault="0081054B" w:rsidP="007402BB">
      <w:pPr>
        <w:jc w:val="both"/>
      </w:pPr>
      <w:r w:rsidRPr="0081054B">
        <w:t xml:space="preserve">È importante notare che le misure </w:t>
      </w:r>
      <w:r w:rsidR="00E73CA3">
        <w:t xml:space="preserve">che </w:t>
      </w:r>
      <w:r w:rsidRPr="0081054B">
        <w:t>"</w:t>
      </w:r>
      <w:r w:rsidR="00E73CA3">
        <w:t>si</w:t>
      </w:r>
      <w:r w:rsidR="00E73CA3" w:rsidRPr="00E73CA3">
        <w:t xml:space="preserve"> </w:t>
      </w:r>
      <w:r w:rsidR="00E73CA3" w:rsidRPr="0081054B">
        <w:t>consiglia</w:t>
      </w:r>
      <w:r w:rsidR="00E73CA3" w:rsidRPr="0081054B">
        <w:t xml:space="preserve"> </w:t>
      </w:r>
      <w:r w:rsidRPr="0081054B">
        <w:t>altamente d</w:t>
      </w:r>
      <w:r w:rsidR="00E73CA3">
        <w:t>i</w:t>
      </w:r>
      <w:r w:rsidRPr="0081054B">
        <w:t xml:space="preserve"> attuare" fanno parte dell'articolo 5, paragrafo 2. I sindacati possono avvalersi di questo articolo e insistere anche sull'attuazione di tali misure</w:t>
      </w:r>
      <w:r w:rsidR="00E73CA3">
        <w:t xml:space="preserve"> facoltative</w:t>
      </w:r>
      <w:r w:rsidRPr="0081054B">
        <w:t>.</w:t>
      </w:r>
    </w:p>
    <w:p w:rsidR="0081054B" w:rsidRPr="003C59C6" w:rsidRDefault="0081054B" w:rsidP="007402BB">
      <w:pPr>
        <w:jc w:val="both"/>
      </w:pPr>
      <w:r w:rsidRPr="0081054B">
        <w:t>Inoltre, riteniamo che le misure obbligatorie di cui all'articolo 5, paragrafo 3, siano solo il primo passo. Questo accordo deve essere continuamente migliorato.</w:t>
      </w:r>
    </w:p>
    <w:p w:rsidR="0081054B" w:rsidRDefault="0081054B" w:rsidP="007402BB">
      <w:pPr>
        <w:jc w:val="both"/>
      </w:pPr>
    </w:p>
    <w:p w:rsidR="003C59C6" w:rsidRPr="003C59C6" w:rsidRDefault="003C59C6" w:rsidP="007402BB">
      <w:pPr>
        <w:jc w:val="both"/>
        <w:rPr>
          <w:b/>
        </w:rPr>
      </w:pPr>
      <w:r w:rsidRPr="003C59C6">
        <w:rPr>
          <w:b/>
        </w:rPr>
        <w:t>Cosa significa "accordo vincolante"?</w:t>
      </w:r>
    </w:p>
    <w:p w:rsidR="00503994" w:rsidRDefault="00503994" w:rsidP="007402BB">
      <w:pPr>
        <w:jc w:val="both"/>
      </w:pPr>
      <w:r w:rsidRPr="00503994">
        <w:t xml:space="preserve">Il dialogo sociale a livello dell'Unione può, in conformità dell'articolo 155, paragrafo 1, del TFUE, </w:t>
      </w:r>
      <w:r w:rsidRPr="003C59C6">
        <w:t>(vedi testo in nota)</w:t>
      </w:r>
      <w:r w:rsidR="00E35829">
        <w:rPr>
          <w:rStyle w:val="Rimandonotaapidipagina"/>
        </w:rPr>
        <w:footnoteReference w:id="1"/>
      </w:r>
      <w:r w:rsidRPr="003C59C6">
        <w:t xml:space="preserve"> </w:t>
      </w:r>
      <w:r w:rsidRPr="00503994">
        <w:t>condurre a relazioni contrattuali, ivi compresi accordi, se le parti sociali lo desiderano. </w:t>
      </w:r>
    </w:p>
    <w:p w:rsidR="003C59C6" w:rsidRPr="003C59C6" w:rsidRDefault="003C59C6" w:rsidP="007402BB">
      <w:pPr>
        <w:jc w:val="both"/>
      </w:pPr>
      <w:r w:rsidRPr="003C59C6">
        <w:lastRenderedPageBreak/>
        <w:t>Ci sono due modi per attuare gli accordi, o con una decisione del Consiglio (come la direttiva 2005/47/CE</w:t>
      </w:r>
      <w:r w:rsidR="00E35829">
        <w:rPr>
          <w:rStyle w:val="Rimandonotaapidipagina"/>
        </w:rPr>
        <w:footnoteReference w:id="2"/>
      </w:r>
      <w:r w:rsidRPr="003C59C6">
        <w:t>) o dalle stesse parti sociali a livello nazionale "</w:t>
      </w:r>
      <w:r w:rsidR="00503994" w:rsidRPr="00503994">
        <w:t xml:space="preserve"> </w:t>
      </w:r>
      <w:r w:rsidR="00503994" w:rsidRPr="00503994">
        <w:t>secondo le procedure e le prassi proprie delle parti sociali e degli Stati membri</w:t>
      </w:r>
      <w:r w:rsidR="00503994">
        <w:t>”</w:t>
      </w:r>
      <w:r w:rsidRPr="003C59C6">
        <w:t>.</w:t>
      </w:r>
    </w:p>
    <w:p w:rsidR="003C59C6" w:rsidRPr="003C59C6" w:rsidRDefault="00E73CA3" w:rsidP="007402BB">
      <w:pPr>
        <w:jc w:val="both"/>
      </w:pPr>
      <w:r>
        <w:t>Quella</w:t>
      </w:r>
      <w:r w:rsidRPr="003C59C6">
        <w:t xml:space="preserve"> scelta da CER ed ETF </w:t>
      </w:r>
      <w:r>
        <w:t>è l</w:t>
      </w:r>
      <w:r w:rsidR="003C59C6" w:rsidRPr="003C59C6">
        <w:t>a seconda opzione e si chiama “accordo autonomo”. Non è una legislazione dell'UE, non deve essere recepita nel diritto nazionale, le donne nel settore ferroviario non possono trarre un diritto legale dall'accordo.</w:t>
      </w:r>
    </w:p>
    <w:p w:rsidR="00F55B7A" w:rsidRDefault="00F55B7A" w:rsidP="007402BB">
      <w:pPr>
        <w:jc w:val="both"/>
      </w:pPr>
    </w:p>
    <w:p w:rsidR="005D118F" w:rsidRPr="005D118F" w:rsidRDefault="005D118F" w:rsidP="007402BB">
      <w:pPr>
        <w:jc w:val="both"/>
      </w:pPr>
      <w:r w:rsidRPr="005D118F">
        <w:t xml:space="preserve">Ma poiché si tratta di un rapporto contrattuale basato sull'articolo 155 </w:t>
      </w:r>
      <w:r w:rsidRPr="00AC6C0A">
        <w:t>TFUE</w:t>
      </w:r>
      <w:r w:rsidRPr="005D118F">
        <w:t>, la Commissione europea in quanto "custode del trattato" deve garantir</w:t>
      </w:r>
      <w:r w:rsidR="0038514D">
        <w:t>n</w:t>
      </w:r>
      <w:r w:rsidRPr="005D118F">
        <w:t>e l'attuazione. Le parti sociali devono riferire alla Commissione in che modo hanno attuato le disposizioni a livello nazionale. Ciò lo rende vincolante per i membri del</w:t>
      </w:r>
      <w:r w:rsidR="00AC6C0A">
        <w:t>la</w:t>
      </w:r>
      <w:r w:rsidRPr="005D118F">
        <w:t xml:space="preserve"> CER (e dell'ETF), sebbene non sia giuridicamente vincolante in senso stretto.</w:t>
      </w:r>
      <w:r w:rsidR="00E35829">
        <w:t xml:space="preserve"> </w:t>
      </w:r>
      <w:r w:rsidRPr="005D118F">
        <w:t xml:space="preserve">È </w:t>
      </w:r>
      <w:r w:rsidR="0038514D">
        <w:t xml:space="preserve">nella responsabilità </w:t>
      </w:r>
      <w:r w:rsidRPr="005D118F">
        <w:t>dei membri della sezione ferroviaria dell'ETF garantire l'attuazione dell'accordo.</w:t>
      </w:r>
    </w:p>
    <w:p w:rsidR="005D118F" w:rsidRDefault="005D118F" w:rsidP="007402BB">
      <w:pPr>
        <w:jc w:val="both"/>
      </w:pPr>
    </w:p>
    <w:p w:rsidR="005D118F" w:rsidRPr="005D118F" w:rsidRDefault="005D118F" w:rsidP="007402BB">
      <w:pPr>
        <w:jc w:val="both"/>
        <w:rPr>
          <w:b/>
        </w:rPr>
      </w:pPr>
      <w:r w:rsidRPr="005D118F">
        <w:rPr>
          <w:b/>
        </w:rPr>
        <w:t>Il mandato adottato dalla Sezione Ferroviaria nel giugno 2019</w:t>
      </w:r>
    </w:p>
    <w:p w:rsidR="005D118F" w:rsidRPr="005D118F" w:rsidRDefault="005D118F" w:rsidP="007402BB">
      <w:pPr>
        <w:jc w:val="both"/>
      </w:pPr>
      <w:r w:rsidRPr="005D118F">
        <w:t xml:space="preserve">Il punto di partenza per l'ETF </w:t>
      </w:r>
      <w:r w:rsidR="00FC32A9">
        <w:t>era</w:t>
      </w:r>
      <w:r w:rsidRPr="005D118F">
        <w:t xml:space="preserve"> la nostra richiesta di trasformare le </w:t>
      </w:r>
      <w:r w:rsidR="00AC6C0A">
        <w:t>R</w:t>
      </w:r>
      <w:r w:rsidRPr="005D118F">
        <w:t xml:space="preserve">accomandazioni </w:t>
      </w:r>
      <w:r w:rsidR="00AC6C0A">
        <w:t>C</w:t>
      </w:r>
      <w:r w:rsidRPr="005D118F">
        <w:t>ongiunte</w:t>
      </w:r>
      <w:r w:rsidR="00AC6C0A">
        <w:t xml:space="preserve"> del 2007</w:t>
      </w:r>
      <w:r w:rsidRPr="005D118F">
        <w:t xml:space="preserve"> non </w:t>
      </w:r>
      <w:r w:rsidR="00AC6C0A">
        <w:t>obbligatorie</w:t>
      </w:r>
      <w:r w:rsidRPr="005D118F">
        <w:t xml:space="preserve"> in un impegno più vincolante</w:t>
      </w:r>
      <w:r w:rsidR="00AC6C0A">
        <w:t xml:space="preserve"> per le imprese</w:t>
      </w:r>
      <w:r w:rsidRPr="005D118F">
        <w:t>.</w:t>
      </w:r>
    </w:p>
    <w:p w:rsidR="005D118F" w:rsidRPr="005D118F" w:rsidRDefault="005D118F" w:rsidP="007402BB">
      <w:pPr>
        <w:jc w:val="both"/>
      </w:pPr>
    </w:p>
    <w:p w:rsidR="005D118F" w:rsidRPr="00AC6C0A" w:rsidRDefault="005D118F" w:rsidP="007402BB">
      <w:pPr>
        <w:jc w:val="both"/>
        <w:rPr>
          <w:b/>
        </w:rPr>
      </w:pPr>
      <w:r w:rsidRPr="00AC6C0A">
        <w:rPr>
          <w:b/>
        </w:rPr>
        <w:t xml:space="preserve">Principi dell'ETF </w:t>
      </w:r>
      <w:r w:rsidRPr="00FD7D3A">
        <w:rPr>
          <w:b/>
        </w:rPr>
        <w:t>(</w:t>
      </w:r>
      <w:r w:rsidR="00FD7D3A" w:rsidRPr="00FD7D3A">
        <w:rPr>
          <w:b/>
        </w:rPr>
        <w:t>punti di resistenza</w:t>
      </w:r>
      <w:r w:rsidR="00FD7D3A">
        <w:rPr>
          <w:b/>
        </w:rPr>
        <w:t xml:space="preserve"> nella trattativa</w:t>
      </w:r>
      <w:r w:rsidRPr="00FD7D3A">
        <w:rPr>
          <w:b/>
        </w:rPr>
        <w:t>):</w:t>
      </w:r>
    </w:p>
    <w:p w:rsidR="005D118F" w:rsidRPr="005D118F" w:rsidRDefault="005D118F" w:rsidP="007402BB">
      <w:pPr>
        <w:jc w:val="both"/>
      </w:pPr>
      <w:r w:rsidRPr="005D118F">
        <w:t xml:space="preserve">1. </w:t>
      </w:r>
      <w:r w:rsidRPr="00DE5C41">
        <w:rPr>
          <w:b/>
        </w:rPr>
        <w:t>L'accordo non può scendere al di sotto del livello delle Raccomandazioni Congiunte</w:t>
      </w:r>
      <w:r w:rsidRPr="005D118F">
        <w:t xml:space="preserve"> già sottoscritte e dell</w:t>
      </w:r>
      <w:r w:rsidR="00DE5C41">
        <w:t>a lista delle</w:t>
      </w:r>
      <w:r w:rsidRPr="005D118F">
        <w:t xml:space="preserve"> cosiddette “</w:t>
      </w:r>
      <w:r w:rsidR="00FC32A9" w:rsidRPr="00FC32A9">
        <w:t xml:space="preserve">Do(s) and </w:t>
      </w:r>
      <w:proofErr w:type="spellStart"/>
      <w:r w:rsidR="00FC32A9" w:rsidRPr="00FC32A9">
        <w:t>don’t</w:t>
      </w:r>
      <w:proofErr w:type="spellEnd"/>
      <w:r w:rsidR="00FC32A9" w:rsidRPr="00FC32A9">
        <w:t>(s)”</w:t>
      </w:r>
      <w:r w:rsidR="00FC32A9">
        <w:t xml:space="preserve"> (</w:t>
      </w:r>
      <w:r w:rsidRPr="005D118F">
        <w:t>Fare</w:t>
      </w:r>
      <w:r w:rsidR="00FC32A9">
        <w:t xml:space="preserve"> e non fare)</w:t>
      </w:r>
      <w:r w:rsidRPr="005D118F">
        <w:t xml:space="preserve"> come pubblicate nella “WIR </w:t>
      </w:r>
      <w:proofErr w:type="spellStart"/>
      <w:r w:rsidRPr="005D118F">
        <w:t>Good</w:t>
      </w:r>
      <w:proofErr w:type="spellEnd"/>
      <w:r w:rsidRPr="005D118F">
        <w:t xml:space="preserve"> </w:t>
      </w:r>
      <w:proofErr w:type="spellStart"/>
      <w:r w:rsidRPr="005D118F">
        <w:t>Practice</w:t>
      </w:r>
      <w:proofErr w:type="spellEnd"/>
      <w:r w:rsidRPr="005D118F">
        <w:t xml:space="preserve"> and </w:t>
      </w:r>
      <w:proofErr w:type="spellStart"/>
      <w:r w:rsidRPr="005D118F">
        <w:t>Implementation</w:t>
      </w:r>
      <w:proofErr w:type="spellEnd"/>
      <w:r w:rsidRPr="005D118F">
        <w:t xml:space="preserve"> Guide”, tenendo presente che le </w:t>
      </w:r>
      <w:r w:rsidR="00FC32A9">
        <w:t>Raccomandazioni</w:t>
      </w:r>
      <w:r w:rsidRPr="005D118F">
        <w:t xml:space="preserve"> erano "raccomandazioni" e quindi più facili da firmare per i datori di lavoro.</w:t>
      </w:r>
    </w:p>
    <w:p w:rsidR="005D118F" w:rsidRPr="005D118F" w:rsidRDefault="005D118F" w:rsidP="007402BB">
      <w:pPr>
        <w:jc w:val="both"/>
      </w:pPr>
      <w:r w:rsidRPr="005D118F">
        <w:t xml:space="preserve">2. </w:t>
      </w:r>
      <w:r w:rsidRPr="00DE5C41">
        <w:rPr>
          <w:b/>
        </w:rPr>
        <w:t>Deve esserci un valore aggiunto</w:t>
      </w:r>
      <w:r w:rsidRPr="005D118F">
        <w:t xml:space="preserve"> per la parità di genere e la promozione delle ferrovi</w:t>
      </w:r>
      <w:r w:rsidR="00FC32A9">
        <w:t>er</w:t>
      </w:r>
      <w:r w:rsidRPr="005D118F">
        <w:t xml:space="preserve">e nelle </w:t>
      </w:r>
      <w:r w:rsidR="00FC32A9">
        <w:t>imprese</w:t>
      </w:r>
      <w:r w:rsidRPr="005D118F">
        <w:t xml:space="preserve"> ferroviarie in Europa.</w:t>
      </w:r>
    </w:p>
    <w:p w:rsidR="005D118F" w:rsidRPr="005D118F" w:rsidRDefault="005D118F" w:rsidP="007402BB">
      <w:pPr>
        <w:jc w:val="both"/>
      </w:pPr>
      <w:r w:rsidRPr="005D118F">
        <w:t xml:space="preserve">3. </w:t>
      </w:r>
      <w:r w:rsidRPr="00DE5C41">
        <w:rPr>
          <w:b/>
        </w:rPr>
        <w:t>L'accordo deve contenere elementi vincolanti</w:t>
      </w:r>
      <w:r w:rsidRPr="005D118F">
        <w:t>, almeno uno in ciascuna delle otto aree di intervento (le imprese ferroviarie “devono”</w:t>
      </w:r>
      <w:r w:rsidR="00FC32A9">
        <w:t xml:space="preserve"> -verbo impositivo usato nel testo dell’accordo-</w:t>
      </w:r>
      <w:r w:rsidRPr="005D118F">
        <w:t xml:space="preserve"> invece di “d</w:t>
      </w:r>
      <w:r w:rsidR="00FC32A9">
        <w:t>ovrebbero</w:t>
      </w:r>
      <w:r w:rsidRPr="005D118F">
        <w:t>”</w:t>
      </w:r>
      <w:r w:rsidR="00FC32A9">
        <w:t xml:space="preserve"> –verbo al condizionale</w:t>
      </w:r>
      <w:r w:rsidR="00DE5C41">
        <w:t xml:space="preserve"> usato per le </w:t>
      </w:r>
      <w:r w:rsidR="00DE5C41" w:rsidRPr="00DE5C41">
        <w:t>misure aggiuntive</w:t>
      </w:r>
      <w:r w:rsidR="00DE5C41">
        <w:t xml:space="preserve"> dell’allegato 1 </w:t>
      </w:r>
      <w:r w:rsidR="00FC32A9">
        <w:t>-</w:t>
      </w:r>
      <w:r w:rsidRPr="005D118F">
        <w:t>).</w:t>
      </w:r>
    </w:p>
    <w:p w:rsidR="005D118F" w:rsidRDefault="005D118F" w:rsidP="007402BB">
      <w:pPr>
        <w:jc w:val="both"/>
      </w:pPr>
    </w:p>
    <w:p w:rsidR="005D118F" w:rsidRPr="005D118F" w:rsidRDefault="005D118F" w:rsidP="007402BB">
      <w:pPr>
        <w:jc w:val="both"/>
        <w:rPr>
          <w:b/>
        </w:rPr>
      </w:pPr>
      <w:r w:rsidRPr="005D118F">
        <w:rPr>
          <w:b/>
        </w:rPr>
        <w:t>Valutazione</w:t>
      </w:r>
    </w:p>
    <w:p w:rsidR="005D118F" w:rsidRPr="005D118F" w:rsidRDefault="005D118F" w:rsidP="007402BB">
      <w:pPr>
        <w:pStyle w:val="Paragrafoelenco"/>
        <w:numPr>
          <w:ilvl w:val="0"/>
          <w:numId w:val="3"/>
        </w:numPr>
        <w:jc w:val="both"/>
      </w:pPr>
      <w:proofErr w:type="gramStart"/>
      <w:r w:rsidRPr="005D118F">
        <w:t>il</w:t>
      </w:r>
      <w:proofErr w:type="gramEnd"/>
      <w:r w:rsidRPr="005D118F">
        <w:t xml:space="preserve"> mandato conferito alla delegazione negoziale dell'ETF è rispettato;</w:t>
      </w:r>
    </w:p>
    <w:p w:rsidR="005D118F" w:rsidRPr="005D118F" w:rsidRDefault="005D118F" w:rsidP="007402BB">
      <w:pPr>
        <w:pStyle w:val="Paragrafoelenco"/>
        <w:numPr>
          <w:ilvl w:val="0"/>
          <w:numId w:val="3"/>
        </w:numPr>
        <w:jc w:val="both"/>
      </w:pPr>
      <w:r w:rsidRPr="005D118F">
        <w:t>Abbiamo un accordo vincolante;</w:t>
      </w:r>
    </w:p>
    <w:p w:rsidR="005D118F" w:rsidRPr="005D118F" w:rsidRDefault="005D118F" w:rsidP="007402BB">
      <w:pPr>
        <w:pStyle w:val="Paragrafoelenco"/>
        <w:numPr>
          <w:ilvl w:val="0"/>
          <w:numId w:val="3"/>
        </w:numPr>
        <w:jc w:val="both"/>
      </w:pPr>
      <w:r w:rsidRPr="005D118F">
        <w:t>Abbiamo negoziato duramente per ottenere almeno una misura vincolante in tutte le aree politiche (AP), in diverse AP abbiamo raggiunto più di una misura obbligatoria;</w:t>
      </w:r>
    </w:p>
    <w:p w:rsidR="005D118F" w:rsidRPr="005D118F" w:rsidRDefault="005D118F" w:rsidP="007402BB">
      <w:pPr>
        <w:pStyle w:val="Paragrafoelenco"/>
        <w:numPr>
          <w:ilvl w:val="0"/>
          <w:numId w:val="3"/>
        </w:numPr>
        <w:jc w:val="both"/>
      </w:pPr>
      <w:r w:rsidRPr="005D118F">
        <w:t>A</w:t>
      </w:r>
      <w:r w:rsidR="0048373C">
        <w:t>bbiamo a</w:t>
      </w:r>
      <w:r w:rsidRPr="005D118F">
        <w:t>ffront</w:t>
      </w:r>
      <w:r w:rsidR="0048373C">
        <w:t>at</w:t>
      </w:r>
      <w:r w:rsidRPr="005D118F">
        <w:t xml:space="preserve">o tutti i temi rilevanti per l'uguaglianza di genere nelle aziende ferroviarie, </w:t>
      </w:r>
      <w:r w:rsidR="0048373C">
        <w:t>compresa</w:t>
      </w:r>
      <w:r w:rsidRPr="005D118F">
        <w:t xml:space="preserve"> la parità retributiva o il sessismo;</w:t>
      </w:r>
    </w:p>
    <w:p w:rsidR="005D118F" w:rsidRPr="005D118F" w:rsidRDefault="005D118F" w:rsidP="007402BB">
      <w:pPr>
        <w:pStyle w:val="Paragrafoelenco"/>
        <w:numPr>
          <w:ilvl w:val="0"/>
          <w:numId w:val="3"/>
        </w:numPr>
        <w:jc w:val="both"/>
      </w:pPr>
      <w:r w:rsidRPr="005D118F">
        <w:t xml:space="preserve">Abbiamo un impegno chiaro da parte del CER per l'uguaglianza di </w:t>
      </w:r>
      <w:r w:rsidRPr="00FD7D3A">
        <w:t>genere e</w:t>
      </w:r>
      <w:r w:rsidR="00FD7D3A" w:rsidRPr="00FD7D3A">
        <w:t>, cosa</w:t>
      </w:r>
      <w:r w:rsidRPr="00FD7D3A">
        <w:t xml:space="preserve"> importante:</w:t>
      </w:r>
      <w:r w:rsidRPr="005D118F">
        <w:t xml:space="preserve"> cambiare la cultura del lavoro come obiettivo;</w:t>
      </w:r>
    </w:p>
    <w:p w:rsidR="005D118F" w:rsidRPr="005D118F" w:rsidRDefault="005D118F" w:rsidP="007402BB">
      <w:pPr>
        <w:pStyle w:val="Paragrafoelenco"/>
        <w:numPr>
          <w:ilvl w:val="0"/>
          <w:numId w:val="3"/>
        </w:numPr>
        <w:jc w:val="both"/>
      </w:pPr>
      <w:r w:rsidRPr="005D118F">
        <w:t>Abbiamo concordato di rinegoziare i temi più critici a due anni dalla firma (</w:t>
      </w:r>
      <w:r w:rsidR="0048373C">
        <w:t xml:space="preserve">conciliazione </w:t>
      </w:r>
      <w:r w:rsidRPr="005D118F">
        <w:t>vita</w:t>
      </w:r>
      <w:r w:rsidR="0048373C">
        <w:t>-</w:t>
      </w:r>
      <w:r w:rsidR="0048373C" w:rsidRPr="005D118F">
        <w:t>lavoro</w:t>
      </w:r>
      <w:r w:rsidRPr="005D118F">
        <w:t>; parità retributiva, obiettivi);</w:t>
      </w:r>
    </w:p>
    <w:p w:rsidR="005D118F" w:rsidRPr="005D118F" w:rsidRDefault="005D118F" w:rsidP="007402BB">
      <w:pPr>
        <w:pStyle w:val="Paragrafoelenco"/>
        <w:numPr>
          <w:ilvl w:val="0"/>
          <w:numId w:val="3"/>
        </w:numPr>
        <w:jc w:val="both"/>
      </w:pPr>
      <w:r w:rsidRPr="005D118F">
        <w:t>Siamo stati in grado di introdurre nell'accordo un linguaggio e</w:t>
      </w:r>
      <w:r w:rsidR="00FD7D3A">
        <w:t xml:space="preserve"> dei</w:t>
      </w:r>
      <w:r w:rsidRPr="005D118F">
        <w:t xml:space="preserve"> concetti rilevanti sull'uguaglianza di genere e sensibili al genere;</w:t>
      </w:r>
    </w:p>
    <w:p w:rsidR="005D118F" w:rsidRPr="005D118F" w:rsidRDefault="005D118F" w:rsidP="007402BB">
      <w:pPr>
        <w:pStyle w:val="Paragrafoelenco"/>
        <w:numPr>
          <w:ilvl w:val="0"/>
          <w:numId w:val="3"/>
        </w:numPr>
        <w:jc w:val="both"/>
      </w:pPr>
      <w:r w:rsidRPr="005D118F">
        <w:t>L'accordo avrà chiaramente un valore aggiunto per le donne e</w:t>
      </w:r>
      <w:r w:rsidR="0048373C">
        <w:t xml:space="preserve"> </w:t>
      </w:r>
      <w:r w:rsidRPr="005D118F">
        <w:t>i nostri membri nei paesi che sono riluttanti alle politiche di uguaglianza di genere;</w:t>
      </w:r>
    </w:p>
    <w:p w:rsidR="008A1940" w:rsidRDefault="005D118F" w:rsidP="007402BB">
      <w:pPr>
        <w:pStyle w:val="Paragrafoelenco"/>
        <w:numPr>
          <w:ilvl w:val="0"/>
          <w:numId w:val="3"/>
        </w:numPr>
        <w:jc w:val="both"/>
      </w:pPr>
      <w:r w:rsidRPr="005D118F">
        <w:t>Questo è il primo accordo settoriale vincolante ai sensi dell'articolo 155 sulle donne; abbiamo aperto la strada ad accordi simili in altri settori (si veda, ad esempio, il parere FEMM</w:t>
      </w:r>
      <w:r w:rsidR="00E35829">
        <w:rPr>
          <w:rStyle w:val="Rimandonotaapidipagina"/>
        </w:rPr>
        <w:footnoteReference w:id="3"/>
      </w:r>
      <w:r w:rsidRPr="005D118F">
        <w:t xml:space="preserve"> del P</w:t>
      </w:r>
      <w:r w:rsidR="00FD7D3A">
        <w:t xml:space="preserve">arlamento </w:t>
      </w:r>
      <w:r w:rsidRPr="005D118F">
        <w:t>E</w:t>
      </w:r>
      <w:r w:rsidR="00FD7D3A">
        <w:t>uropeo</w:t>
      </w:r>
      <w:r w:rsidRPr="005D118F">
        <w:t>).</w:t>
      </w:r>
    </w:p>
    <w:sectPr w:rsidR="008A1940" w:rsidSect="00DD1329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C76" w:rsidRDefault="00FA6C76" w:rsidP="00E35829">
      <w:r>
        <w:separator/>
      </w:r>
    </w:p>
  </w:endnote>
  <w:endnote w:type="continuationSeparator" w:id="0">
    <w:p w:rsidR="00FA6C76" w:rsidRDefault="00FA6C76" w:rsidP="00E35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C76" w:rsidRDefault="00FA6C76" w:rsidP="00E35829">
      <w:r>
        <w:separator/>
      </w:r>
    </w:p>
  </w:footnote>
  <w:footnote w:type="continuationSeparator" w:id="0">
    <w:p w:rsidR="00FA6C76" w:rsidRDefault="00FA6C76" w:rsidP="00E35829">
      <w:r>
        <w:continuationSeparator/>
      </w:r>
    </w:p>
  </w:footnote>
  <w:footnote w:id="1">
    <w:p w:rsidR="00E35829" w:rsidRPr="00E35829" w:rsidRDefault="00E35829" w:rsidP="00E3582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35829">
        <w:rPr>
          <w:b/>
        </w:rPr>
        <w:t>Articolo 155</w:t>
      </w:r>
      <w:r w:rsidRPr="00E35829">
        <w:t xml:space="preserve"> (ex articolo 139 TCE): 1. Qualora la direzione e i lavoratori lo desiderino, il dialogo tra loro a livello dell'Unione può sfociare in relazioni contrattuali, compresi accordi.</w:t>
      </w:r>
    </w:p>
    <w:p w:rsidR="00E35829" w:rsidRPr="00E35829" w:rsidRDefault="00E35829" w:rsidP="00E35829">
      <w:pPr>
        <w:pStyle w:val="Testonotaapidipagina"/>
      </w:pPr>
      <w:r w:rsidRPr="00E35829">
        <w:t>2. Gli accordi conclusi a livello dell'Unione sono attuati secondo le procedure e le prassi proprie delle parti sociali e degli Stati membri o, nelle materie disciplinate dall'articolo 153, su richiesta congiunta delle parti firmatarie, in base ad una decisione del Consiglio su proposta della Commissione. Il Parlamento europeo è informato.</w:t>
      </w:r>
    </w:p>
    <w:p w:rsidR="00E35829" w:rsidRPr="00E35829" w:rsidRDefault="00E35829" w:rsidP="00E35829">
      <w:pPr>
        <w:pStyle w:val="Testonotaapidipagina"/>
      </w:pPr>
      <w:r w:rsidRPr="00E35829">
        <w:t>Il Consiglio delibera all'unanimità qualora l'accordo in questione contenga una o più disposizioni relative a uno dei settori per i quali è richiesta l'unanimità ai sensi dell'articolo 153, paragrafo 2.</w:t>
      </w:r>
    </w:p>
    <w:p w:rsidR="00E35829" w:rsidRDefault="00E35829">
      <w:pPr>
        <w:pStyle w:val="Testonotaapidipagina"/>
      </w:pPr>
    </w:p>
  </w:footnote>
  <w:footnote w:id="2">
    <w:p w:rsidR="00E35829" w:rsidRPr="00E35829" w:rsidRDefault="00E35829" w:rsidP="00E3582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35829">
        <w:rPr>
          <w:b/>
        </w:rPr>
        <w:t>Direttiva 2005/47/CE</w:t>
      </w:r>
      <w:r w:rsidRPr="00E35829">
        <w:t xml:space="preserve"> Riguarda le condizioni di lavoro dei lavoratori mobili che effettuano servizi di interoperabilità transfrontaliera nel settore ferroviario</w:t>
      </w:r>
    </w:p>
    <w:p w:rsidR="00E35829" w:rsidRDefault="00E35829">
      <w:pPr>
        <w:pStyle w:val="Testonotaapidipagina"/>
      </w:pPr>
    </w:p>
  </w:footnote>
  <w:footnote w:id="3">
    <w:p w:rsidR="00E35829" w:rsidRPr="00E35829" w:rsidRDefault="00E35829" w:rsidP="00E3582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35829">
        <w:rPr>
          <w:b/>
        </w:rPr>
        <w:t>FEMM</w:t>
      </w:r>
      <w:r w:rsidRPr="00E35829">
        <w:t xml:space="preserve"> E’ la Commissione per i diritti della donna e l'uguaglianza di genere del Parlamento europeo</w:t>
      </w:r>
    </w:p>
    <w:p w:rsidR="00E35829" w:rsidRDefault="00E35829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55D1E"/>
    <w:multiLevelType w:val="hybridMultilevel"/>
    <w:tmpl w:val="238C015C"/>
    <w:lvl w:ilvl="0" w:tplc="1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650427"/>
    <w:multiLevelType w:val="hybridMultilevel"/>
    <w:tmpl w:val="F890641C"/>
    <w:lvl w:ilvl="0" w:tplc="1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C57644"/>
    <w:multiLevelType w:val="hybridMultilevel"/>
    <w:tmpl w:val="A280A192"/>
    <w:lvl w:ilvl="0" w:tplc="1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DED"/>
    <w:rsid w:val="0014703D"/>
    <w:rsid w:val="001C0DD8"/>
    <w:rsid w:val="001F4536"/>
    <w:rsid w:val="002250BA"/>
    <w:rsid w:val="00262E31"/>
    <w:rsid w:val="002C5F4A"/>
    <w:rsid w:val="0037761D"/>
    <w:rsid w:val="0038514D"/>
    <w:rsid w:val="003C59C6"/>
    <w:rsid w:val="003F72B4"/>
    <w:rsid w:val="0048373C"/>
    <w:rsid w:val="00503994"/>
    <w:rsid w:val="00577EFD"/>
    <w:rsid w:val="005D118F"/>
    <w:rsid w:val="00650A16"/>
    <w:rsid w:val="00734FA5"/>
    <w:rsid w:val="007402BB"/>
    <w:rsid w:val="007B6A8C"/>
    <w:rsid w:val="00804065"/>
    <w:rsid w:val="00804556"/>
    <w:rsid w:val="0081054B"/>
    <w:rsid w:val="008A1940"/>
    <w:rsid w:val="008B2187"/>
    <w:rsid w:val="00AC6C0A"/>
    <w:rsid w:val="00AE0958"/>
    <w:rsid w:val="00AE535B"/>
    <w:rsid w:val="00B443C4"/>
    <w:rsid w:val="00C36E45"/>
    <w:rsid w:val="00D03577"/>
    <w:rsid w:val="00D930A7"/>
    <w:rsid w:val="00DD1329"/>
    <w:rsid w:val="00DE5C41"/>
    <w:rsid w:val="00E35829"/>
    <w:rsid w:val="00E73CA3"/>
    <w:rsid w:val="00EF6DED"/>
    <w:rsid w:val="00F55B7A"/>
    <w:rsid w:val="00FA6C76"/>
    <w:rsid w:val="00FC32A9"/>
    <w:rsid w:val="00FD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DF1DC3-F08E-4E9F-9CDA-389C62559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55B7A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7761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3582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3582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358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tf-europe.org/resource/cer-etf-joint-recommendations-for-a-better-representation-and-integration-of-women-in-the-railway-sector-200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tf-europe.org/rail-social-partners-launch-6th-annual-report-on-women-in-rail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7C9C4-4B3F-416D-8E2B-E488DB5D4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4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Cristina Marzola</dc:creator>
  <cp:keywords/>
  <dc:description/>
  <cp:lastModifiedBy>Maria Cristina Marzola</cp:lastModifiedBy>
  <cp:revision>23</cp:revision>
  <dcterms:created xsi:type="dcterms:W3CDTF">2021-10-19T14:08:00Z</dcterms:created>
  <dcterms:modified xsi:type="dcterms:W3CDTF">2021-10-20T11:18:00Z</dcterms:modified>
</cp:coreProperties>
</file>